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358FA2E" w14:textId="4BAB7C62" w:rsidR="00D168C3" w:rsidRPr="00D168C3" w:rsidRDefault="00417ADC" w:rsidP="000741B3">
      <w:pPr>
        <w:pStyle w:val="Subtitle"/>
        <w:jc w:val="right"/>
        <w:rPr>
          <w:rStyle w:val="IntenseEmphasis"/>
        </w:rPr>
      </w:pPr>
      <w:r w:rsidRPr="0098317E">
        <w:rPr>
          <w:noProof/>
          <w:color w:val="auto"/>
          <w:lang w:val="en-AU" w:eastAsia="en-AU"/>
        </w:rPr>
        <mc:AlternateContent>
          <mc:Choice Requires="wps">
            <w:drawing>
              <wp:anchor distT="45720" distB="900430" distL="114300" distR="114300" simplePos="0" relativeHeight="251659264" behindDoc="0" locked="1" layoutInCell="1" allowOverlap="1" wp14:anchorId="4320D74C" wp14:editId="5DF046FD">
                <wp:simplePos x="0" y="0"/>
                <wp:positionH relativeFrom="column">
                  <wp:posOffset>-118110</wp:posOffset>
                </wp:positionH>
                <wp:positionV relativeFrom="page">
                  <wp:posOffset>1204595</wp:posOffset>
                </wp:positionV>
                <wp:extent cx="5904000" cy="168120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000" cy="16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47EF4" w14:textId="2ADEF178" w:rsidR="001B1434" w:rsidRPr="008C2E8C" w:rsidRDefault="00F65949" w:rsidP="005834CB">
                            <w:pPr>
                              <w:pStyle w:val="PreTitle"/>
                              <w:pBdr>
                                <w:bottom w:val="single" w:sz="18" w:space="2" w:color="4FBBC3" w:themeColor="accent2"/>
                              </w:pBdr>
                            </w:pPr>
                            <w:bookmarkStart w:id="1" w:name="OLE_LINK1"/>
                            <w:bookmarkStart w:id="2" w:name="OLE_LINK4"/>
                            <w:bookmarkStart w:id="3" w:name="_Hlk43116612"/>
                            <w:r>
                              <w:t xml:space="preserve">Dose Administration Aid </w:t>
                            </w:r>
                            <w:r w:rsidR="007D587F">
                              <w:t>s</w:t>
                            </w:r>
                            <w:r>
                              <w:t>ervice</w:t>
                            </w:r>
                          </w:p>
                          <w:bookmarkEnd w:id="1"/>
                          <w:bookmarkEnd w:id="2"/>
                          <w:bookmarkEnd w:id="3"/>
                          <w:p w14:paraId="0B37252B" w14:textId="2A37E59E" w:rsidR="00417ADC" w:rsidRDefault="00F65949" w:rsidP="00417ADC">
                            <w:pPr>
                              <w:pStyle w:val="Title"/>
                            </w:pPr>
                            <w:r>
                              <w:t xml:space="preserve">At a glance for </w:t>
                            </w:r>
                            <w:r w:rsidR="005A4383">
                              <w:t>pharmacists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0D7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3pt;margin-top:94.85pt;width:464.9pt;height:132.4pt;z-index:251659264;visibility:visible;mso-wrap-style:square;mso-width-percent:0;mso-height-percent:0;mso-wrap-distance-left:9pt;mso-wrap-distance-top:3.6pt;mso-wrap-distance-right:9pt;mso-wrap-distance-bottom:70.9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" filled="f" stroked="f">
                <v:textbox>
                  <w:txbxContent>
                    <w:p w14:paraId="37747EF4" w14:textId="2ADEF178" w:rsidR="001B1434" w:rsidRPr="008C2E8C" w:rsidRDefault="00F65949" w:rsidP="005834CB">
                      <w:pPr>
                        <w:pStyle w:val="PreTitle"/>
                        <w:pBdr>
                          <w:bottom w:val="single" w:sz="18" w:space="2" w:color="4FBBC3" w:themeColor="accent2"/>
                        </w:pBdr>
                      </w:pPr>
                      <w:bookmarkStart w:id="4" w:name="OLE_LINK1"/>
                      <w:bookmarkStart w:id="5" w:name="OLE_LINK4"/>
                      <w:bookmarkStart w:id="6" w:name="_Hlk43116612"/>
                      <w:r>
                        <w:t xml:space="preserve">Dose Administration Aid </w:t>
                      </w:r>
                      <w:r w:rsidR="007D587F">
                        <w:t>s</w:t>
                      </w:r>
                      <w:bookmarkStart w:id="7" w:name="_GoBack"/>
                      <w:bookmarkEnd w:id="7"/>
                      <w:r>
                        <w:t>ervice</w:t>
                      </w:r>
                    </w:p>
                    <w:bookmarkEnd w:id="4"/>
                    <w:bookmarkEnd w:id="5"/>
                    <w:bookmarkEnd w:id="6"/>
                    <w:p w14:paraId="0B37252B" w14:textId="2A37E59E" w:rsidR="00417ADC" w:rsidRDefault="00F65949" w:rsidP="00417ADC">
                      <w:pPr>
                        <w:pStyle w:val="Title"/>
                      </w:pPr>
                      <w:r>
                        <w:t xml:space="preserve">At a glance for </w:t>
                      </w:r>
                      <w:r w:rsidR="005A4383">
                        <w:t>pharmacists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D168C3">
        <w:rPr>
          <w:rStyle w:val="IntenseEmphasis"/>
        </w:rPr>
        <w:t>Helping veterans manage their medicines</w:t>
      </w:r>
    </w:p>
    <w:p w14:paraId="596CE64A" w14:textId="77777777" w:rsidR="00C14A2F" w:rsidRDefault="00C14A2F" w:rsidP="00C14A2F">
      <w:pPr>
        <w:pStyle w:val="Heading2"/>
      </w:pPr>
      <w:bookmarkStart w:id="4" w:name="_Toc114236549"/>
      <w:bookmarkStart w:id="5" w:name="_Hlk499027596"/>
      <w:r>
        <w:t xml:space="preserve">What is DVA’s DAA </w:t>
      </w:r>
      <w:r w:rsidRPr="00C14A2F">
        <w:t>service</w:t>
      </w:r>
      <w:r>
        <w:t>?</w:t>
      </w:r>
      <w:bookmarkEnd w:id="4"/>
      <w:r>
        <w:t xml:space="preserve"> </w:t>
      </w:r>
    </w:p>
    <w:p w14:paraId="52D9F1F8" w14:textId="77777777" w:rsidR="00D645E6" w:rsidRDefault="00D645E6" w:rsidP="00652B91">
      <w:pPr>
        <w:pStyle w:val="Body"/>
      </w:pPr>
      <w:r>
        <w:t>The DVA Dose Administration Aid (DAA) service provides a DAA at no cost to eligible veterans who hold a Veteran Gold, White or Orange Card and reside in the community.</w:t>
      </w:r>
    </w:p>
    <w:p w14:paraId="0E249462" w14:textId="77777777" w:rsidR="00D645E6" w:rsidRDefault="00D645E6" w:rsidP="00652B91">
      <w:pPr>
        <w:pStyle w:val="Body"/>
      </w:pPr>
      <w:r w:rsidRPr="005F30EB">
        <w:t>A DAA is a compartmentalised box or blister pack type device used to aid the administration of solid or oral medications</w:t>
      </w:r>
      <w:r>
        <w:t>,</w:t>
      </w:r>
      <w:r w:rsidRPr="005F30EB">
        <w:t xml:space="preserve"> in accordance with requirements set out by the Pharmaceutical Society of Australia.</w:t>
      </w:r>
    </w:p>
    <w:p w14:paraId="2C5D2C8C" w14:textId="77777777" w:rsidR="00D645E6" w:rsidRPr="005F30EB" w:rsidRDefault="00D645E6" w:rsidP="00C14A2F">
      <w:pPr>
        <w:pStyle w:val="Heading2"/>
      </w:pPr>
      <w:bookmarkStart w:id="6" w:name="_Toc114473195"/>
      <w:r>
        <w:t>How to help veterans access the DVA DAA service</w:t>
      </w:r>
      <w:bookmarkEnd w:id="6"/>
    </w:p>
    <w:tbl>
      <w:tblPr>
        <w:tblStyle w:val="TableGrid"/>
        <w:tblW w:w="8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FBBC3" w:themeColor="accent2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0"/>
        <w:gridCol w:w="7835"/>
      </w:tblGrid>
      <w:tr w:rsidR="00D645E6" w:rsidRPr="005F30EB" w14:paraId="75414E5D" w14:textId="77777777" w:rsidTr="00D306DF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0D82D280" w14:textId="77777777" w:rsidR="00D645E6" w:rsidRPr="005F30EB" w:rsidRDefault="00D645E6" w:rsidP="00D645E6">
            <w:pPr>
              <w:pStyle w:val="TableRowHead"/>
            </w:pPr>
            <w:r w:rsidRPr="005F30EB">
              <w:t>Step 1</w:t>
            </w:r>
          </w:p>
        </w:tc>
        <w:tc>
          <w:tcPr>
            <w:tcW w:w="7835" w:type="dxa"/>
            <w:shd w:val="clear" w:color="auto" w:fill="auto"/>
          </w:tcPr>
          <w:p w14:paraId="6ED23198" w14:textId="77777777" w:rsidR="00D645E6" w:rsidRPr="00D645E6" w:rsidRDefault="00D645E6" w:rsidP="00AA5BA1">
            <w:pPr>
              <w:pStyle w:val="TableTextNormal"/>
            </w:pPr>
            <w:r w:rsidRPr="00D645E6">
              <w:t xml:space="preserve">The veteran has a consultation with the GP to discuss the need and benefit of the DAA service. </w:t>
            </w:r>
          </w:p>
          <w:p w14:paraId="0377AC0B" w14:textId="77777777" w:rsidR="00D645E6" w:rsidRPr="00D645E6" w:rsidRDefault="00D645E6" w:rsidP="00AA5BA1">
            <w:pPr>
              <w:pStyle w:val="TableTextNormal"/>
            </w:pPr>
            <w:r w:rsidRPr="00D645E6">
              <w:t>It is strongly recommended that a Home Medicines Review (MBS 900) be conducted prior to the DAA service as part of the ongoing care for the veteran.</w:t>
            </w:r>
          </w:p>
          <w:p w14:paraId="210FC690" w14:textId="47410E8F" w:rsidR="00D645E6" w:rsidRPr="00B51D78" w:rsidRDefault="00B51D78" w:rsidP="00B51D78">
            <w:pPr>
              <w:pStyle w:val="TableTextNormal"/>
              <w:numPr>
                <w:ilvl w:val="0"/>
                <w:numId w:val="39"/>
              </w:numPr>
              <w:rPr>
                <w:rStyle w:val="SubtleEmphasis"/>
                <w:color w:val="3C5893" w:themeColor="accent1"/>
              </w:rPr>
            </w:pPr>
            <w:r>
              <w:rPr>
                <w:rStyle w:val="IntenseEmphasis"/>
              </w:rPr>
              <w:t>Pharmacist claims HMR</w:t>
            </w:r>
          </w:p>
        </w:tc>
      </w:tr>
      <w:tr w:rsidR="00D645E6" w:rsidRPr="005F30EB" w14:paraId="13C50F48" w14:textId="77777777" w:rsidTr="00D306DF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65682DA2" w14:textId="77777777" w:rsidR="00D645E6" w:rsidRPr="005F30EB" w:rsidRDefault="00D645E6" w:rsidP="00D645E6">
            <w:pPr>
              <w:pStyle w:val="TableRowHead"/>
            </w:pPr>
            <w:r w:rsidRPr="005F30EB">
              <w:t>Step 2</w:t>
            </w:r>
          </w:p>
        </w:tc>
        <w:tc>
          <w:tcPr>
            <w:tcW w:w="7835" w:type="dxa"/>
            <w:shd w:val="clear" w:color="auto" w:fill="auto"/>
          </w:tcPr>
          <w:p w14:paraId="68AB96C3" w14:textId="77777777" w:rsidR="00D645E6" w:rsidRPr="00D645E6" w:rsidRDefault="00D645E6" w:rsidP="00AA5BA1">
            <w:pPr>
              <w:pStyle w:val="TableTextNormal"/>
            </w:pPr>
            <w:r w:rsidRPr="00D645E6">
              <w:t>The GP is required to ring the Veterans’ Affairs Pharmaceutical Advisory Centre (VAPAC) – 1800 552 580 – for two Authority Prescriptions for the six month DAA service. This is repeated every six months while the veteran remains on the program.</w:t>
            </w:r>
          </w:p>
          <w:p w14:paraId="19C39ACC" w14:textId="77777777" w:rsidR="00D645E6" w:rsidRPr="00D645E6" w:rsidRDefault="00D645E6" w:rsidP="00D645E6">
            <w:pPr>
              <w:pStyle w:val="ListBullet"/>
            </w:pPr>
            <w:r w:rsidRPr="00D645E6">
              <w:t>One Authority Prescription is required for the DAA service for six months (original with 25 repeats).</w:t>
            </w:r>
          </w:p>
          <w:p w14:paraId="0016436E" w14:textId="77777777" w:rsidR="00D645E6" w:rsidRPr="00D645E6" w:rsidRDefault="00D645E6" w:rsidP="00D645E6">
            <w:pPr>
              <w:pStyle w:val="ListBullet"/>
            </w:pPr>
            <w:r w:rsidRPr="00D645E6">
              <w:t>One Authority Prescription is required for the Veteran’s Six Monthly Review (VSMR).</w:t>
            </w:r>
          </w:p>
          <w:p w14:paraId="712572BA" w14:textId="77777777" w:rsidR="00D645E6" w:rsidRPr="00D645E6" w:rsidRDefault="00D645E6" w:rsidP="00AA5BA1">
            <w:pPr>
              <w:pStyle w:val="TableTextNormal"/>
            </w:pPr>
            <w:r w:rsidRPr="00D645E6">
              <w:t>Both Authorities can be provided by VAPAC at the beginning of the six month cycle.</w:t>
            </w:r>
          </w:p>
          <w:p w14:paraId="44AF4A60" w14:textId="77777777" w:rsidR="00D645E6" w:rsidRPr="00D645E6" w:rsidRDefault="00D645E6" w:rsidP="00AA5BA1">
            <w:pPr>
              <w:pStyle w:val="TableTextNormal"/>
            </w:pPr>
            <w:r w:rsidRPr="00D645E6">
              <w:t>The GP provides the Authority Prescription to the veteran.</w:t>
            </w:r>
          </w:p>
        </w:tc>
      </w:tr>
      <w:tr w:rsidR="00D645E6" w:rsidRPr="005F30EB" w14:paraId="76724367" w14:textId="77777777" w:rsidTr="00D306DF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09E7FECC" w14:textId="77777777" w:rsidR="00D645E6" w:rsidRPr="005F30EB" w:rsidRDefault="00D645E6" w:rsidP="00D645E6">
            <w:pPr>
              <w:pStyle w:val="TableRowHead"/>
            </w:pPr>
            <w:r w:rsidRPr="005F30EB">
              <w:t>Step 3</w:t>
            </w:r>
          </w:p>
        </w:tc>
        <w:tc>
          <w:tcPr>
            <w:tcW w:w="7835" w:type="dxa"/>
            <w:shd w:val="clear" w:color="auto" w:fill="auto"/>
          </w:tcPr>
          <w:p w14:paraId="377B0422" w14:textId="77777777" w:rsidR="00D645E6" w:rsidRDefault="00D645E6" w:rsidP="00AA5BA1">
            <w:pPr>
              <w:pStyle w:val="TableTextNormal"/>
            </w:pPr>
            <w:r w:rsidRPr="00D645E6">
              <w:t>The veteran receives the DAA weekly from the pharmacist for 26 weeks.</w:t>
            </w:r>
          </w:p>
          <w:p w14:paraId="4C13F980" w14:textId="77777777" w:rsidR="00B51D78" w:rsidRDefault="00B51D78" w:rsidP="00AA5BA1">
            <w:pPr>
              <w:pStyle w:val="TableTextNormal"/>
            </w:pPr>
            <w:r>
              <w:t>The pharmacist provides information on how to use the DAA and assists the veteran.</w:t>
            </w:r>
          </w:p>
          <w:p w14:paraId="24269015" w14:textId="4ADCAB31" w:rsidR="00B51D78" w:rsidRPr="00D645E6" w:rsidRDefault="00B51D78" w:rsidP="00C71882">
            <w:pPr>
              <w:pStyle w:val="TableTextNormal"/>
              <w:numPr>
                <w:ilvl w:val="0"/>
                <w:numId w:val="39"/>
              </w:numPr>
            </w:pPr>
            <w:r w:rsidRPr="00B51D78">
              <w:rPr>
                <w:rStyle w:val="IntenseEmphasis"/>
              </w:rPr>
              <w:t xml:space="preserve">Pharmacist claims 99647N $10 </w:t>
            </w:r>
            <w:r w:rsidR="00C71882" w:rsidRPr="00C71882">
              <w:rPr>
                <w:rStyle w:val="IntenseEmphasis"/>
              </w:rPr>
              <w:t>×</w:t>
            </w:r>
            <w:r w:rsidRPr="00B51D78">
              <w:rPr>
                <w:rStyle w:val="IntenseEmphasis"/>
              </w:rPr>
              <w:t xml:space="preserve"> 26 weeks</w:t>
            </w:r>
          </w:p>
        </w:tc>
      </w:tr>
      <w:tr w:rsidR="00D645E6" w:rsidRPr="005F30EB" w14:paraId="7FBF6F26" w14:textId="77777777" w:rsidTr="00D306DF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1890B517" w14:textId="77777777" w:rsidR="00D645E6" w:rsidRPr="005F30EB" w:rsidRDefault="00D645E6" w:rsidP="00D645E6">
            <w:pPr>
              <w:pStyle w:val="TableRowHead"/>
            </w:pPr>
            <w:r w:rsidRPr="005F30EB">
              <w:lastRenderedPageBreak/>
              <w:t>Step 4</w:t>
            </w:r>
          </w:p>
        </w:tc>
        <w:tc>
          <w:tcPr>
            <w:tcW w:w="7835" w:type="dxa"/>
            <w:shd w:val="clear" w:color="auto" w:fill="auto"/>
          </w:tcPr>
          <w:p w14:paraId="5ECF6A58" w14:textId="77777777" w:rsidR="0062571B" w:rsidRDefault="00D645E6" w:rsidP="00AA5BA1">
            <w:pPr>
              <w:pStyle w:val="TableTextNormal"/>
            </w:pPr>
            <w:r w:rsidRPr="00D645E6">
              <w:t xml:space="preserve">After week 20, the pharmacist conducts a VSMR using </w:t>
            </w:r>
            <w:r w:rsidR="00B51D78">
              <w:t xml:space="preserve">the </w:t>
            </w:r>
            <w:hyperlink r:id="rId8" w:history="1">
              <w:r w:rsidR="00B51D78" w:rsidRPr="00D306DF">
                <w:rPr>
                  <w:rStyle w:val="Hyperlink"/>
                </w:rPr>
                <w:t>D9132</w:t>
              </w:r>
              <w:r w:rsidRPr="00D306DF">
                <w:rPr>
                  <w:rStyle w:val="Hyperlink"/>
                </w:rPr>
                <w:t xml:space="preserve"> form</w:t>
              </w:r>
            </w:hyperlink>
            <w:r w:rsidR="00B51D78">
              <w:t>, available on the DVA website</w:t>
            </w:r>
            <w:r w:rsidRPr="00D645E6">
              <w:t xml:space="preserve">. </w:t>
            </w:r>
            <w:r w:rsidR="00B51D78" w:rsidRPr="00B51D78">
              <w:t xml:space="preserve">The assessment is to ensure that the veteran is managing with the DAA and to make a recommendation to the GP for </w:t>
            </w:r>
            <w:r w:rsidR="0062571B">
              <w:t>continuing use.</w:t>
            </w:r>
          </w:p>
          <w:p w14:paraId="0ACC6889" w14:textId="240E974F" w:rsidR="00D645E6" w:rsidRDefault="00B51D78" w:rsidP="00AA5BA1">
            <w:pPr>
              <w:pStyle w:val="TableTextNormal"/>
            </w:pPr>
            <w:r w:rsidRPr="00B51D78">
              <w:t>The assessment is faxed to the referring GP.</w:t>
            </w:r>
          </w:p>
          <w:p w14:paraId="016AF82C" w14:textId="4DF3F90E" w:rsidR="00B51D78" w:rsidRPr="00D645E6" w:rsidRDefault="00B51D78" w:rsidP="00B51D78">
            <w:pPr>
              <w:pStyle w:val="TableTextNormal"/>
              <w:numPr>
                <w:ilvl w:val="0"/>
                <w:numId w:val="39"/>
              </w:numPr>
            </w:pPr>
            <w:r w:rsidRPr="00B51D78">
              <w:rPr>
                <w:rStyle w:val="IntenseEmphasis"/>
              </w:rPr>
              <w:t>Pharmacist claims 99648P $100</w:t>
            </w:r>
          </w:p>
        </w:tc>
      </w:tr>
      <w:tr w:rsidR="00D645E6" w:rsidRPr="005F30EB" w14:paraId="3FEC0594" w14:textId="77777777" w:rsidTr="00D306DF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6E17FA5C" w14:textId="77777777" w:rsidR="00D645E6" w:rsidRPr="005F30EB" w:rsidRDefault="00D645E6" w:rsidP="00D645E6">
            <w:pPr>
              <w:pStyle w:val="TableRowHead"/>
            </w:pPr>
            <w:r w:rsidRPr="005F30EB">
              <w:t>Step 5</w:t>
            </w:r>
          </w:p>
        </w:tc>
        <w:tc>
          <w:tcPr>
            <w:tcW w:w="7835" w:type="dxa"/>
            <w:shd w:val="clear" w:color="auto" w:fill="auto"/>
          </w:tcPr>
          <w:p w14:paraId="15357C3E" w14:textId="387ABEF4" w:rsidR="00D645E6" w:rsidRPr="00D306DF" w:rsidRDefault="00D645E6" w:rsidP="00D306DF">
            <w:pPr>
              <w:pStyle w:val="TableTextNormal"/>
            </w:pPr>
            <w:r w:rsidRPr="00D645E6">
              <w:t>The veteran returns to the GP for a consultation. If the continued use of a DAA is recommended, and agreed to by the veteran, the GP is able to prescribe – on Authority – the DAA Service for a further six months by returning to Step 2.</w:t>
            </w:r>
            <w:r w:rsidR="00D306DF">
              <w:br/>
            </w:r>
          </w:p>
        </w:tc>
      </w:tr>
    </w:tbl>
    <w:p w14:paraId="554FFF53" w14:textId="77777777" w:rsidR="00D645E6" w:rsidRPr="00652B91" w:rsidRDefault="00652B91" w:rsidP="00D645E6">
      <w:pPr>
        <w:rPr>
          <w:rStyle w:val="Strong"/>
        </w:rPr>
      </w:pPr>
      <w:r>
        <w:rPr>
          <w:rStyle w:val="Strong"/>
        </w:rPr>
        <w:t>Please note</w:t>
      </w:r>
    </w:p>
    <w:p w14:paraId="7902F1A2" w14:textId="1C0190B4" w:rsidR="00D645E6" w:rsidRPr="005F30EB" w:rsidRDefault="00D645E6" w:rsidP="00652B91">
      <w:pPr>
        <w:pStyle w:val="Body"/>
      </w:pPr>
      <w:r w:rsidRPr="005F30EB">
        <w:t>It is strongly recommended that the veteran receive a Home Medicines Review</w:t>
      </w:r>
      <w:r>
        <w:t xml:space="preserve"> (HMR)</w:t>
      </w:r>
      <w:r w:rsidRPr="005F30EB">
        <w:t xml:space="preserve"> in conjunction with the DAA </w:t>
      </w:r>
      <w:r>
        <w:t>s</w:t>
      </w:r>
      <w:r w:rsidRPr="005F30EB">
        <w:t>ervice</w:t>
      </w:r>
      <w:r>
        <w:t>, especially</w:t>
      </w:r>
      <w:r w:rsidRPr="00556FF3">
        <w:t xml:space="preserve"> within the first six-month cycle where no other HMR has been performed within the preceding 12 months</w:t>
      </w:r>
      <w:r w:rsidRPr="005F30EB">
        <w:t xml:space="preserve">. However, it is at the GP’s discretion </w:t>
      </w:r>
      <w:r w:rsidR="009E274F">
        <w:t>whether the patient would benefit from a HMR</w:t>
      </w:r>
      <w:r w:rsidRPr="005F30EB">
        <w:t>.</w:t>
      </w:r>
    </w:p>
    <w:p w14:paraId="00FCD5EE" w14:textId="1B2F624D" w:rsidR="00D645E6" w:rsidRPr="005F30EB" w:rsidRDefault="00D645E6" w:rsidP="00652B91">
      <w:pPr>
        <w:pStyle w:val="Body"/>
      </w:pPr>
      <w:r w:rsidRPr="00C97F30">
        <w:rPr>
          <w:b/>
        </w:rPr>
        <w:t>VAPAC</w:t>
      </w:r>
      <w:r w:rsidRPr="005F30EB">
        <w:t xml:space="preserve"> is the Veterans’ Affairs Pharmaceutical Advisory Centre and</w:t>
      </w:r>
      <w:r>
        <w:t xml:space="preserve"> </w:t>
      </w:r>
      <w:r w:rsidRPr="005F30EB">
        <w:t>is responsible for the provision of advice regarding the Repatriation Pharmaceutical Benefits Scheme (RPBS)</w:t>
      </w:r>
      <w:r>
        <w:t xml:space="preserve">. VAPAC </w:t>
      </w:r>
      <w:r w:rsidRPr="005F30EB">
        <w:t>provid</w:t>
      </w:r>
      <w:r>
        <w:t>es</w:t>
      </w:r>
      <w:r w:rsidRPr="005F30EB">
        <w:t xml:space="preserve"> a prior approvals service for medication needing prior financial approval before being suppl</w:t>
      </w:r>
      <w:r w:rsidR="00AA5BA1">
        <w:t>ied to eligible beneficiaries.</w:t>
      </w:r>
    </w:p>
    <w:tbl>
      <w:tblPr>
        <w:tblStyle w:val="GridTable1Light-Accent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0"/>
        <w:gridCol w:w="3060"/>
      </w:tblGrid>
      <w:tr w:rsidR="00641675" w:rsidRPr="005F30EB" w14:paraId="22C6307C" w14:textId="77777777" w:rsidTr="00825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bottom w:val="none" w:sz="0" w:space="0" w:color="auto"/>
            </w:tcBorders>
          </w:tcPr>
          <w:p w14:paraId="7EA7CB85" w14:textId="77777777" w:rsidR="00D645E6" w:rsidRPr="005F30EB" w:rsidRDefault="00D645E6" w:rsidP="00641675">
            <w:pPr>
              <w:pStyle w:val="TableHeading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  <w:tcBorders>
              <w:bottom w:val="none" w:sz="0" w:space="0" w:color="auto"/>
            </w:tcBorders>
          </w:tcPr>
          <w:p w14:paraId="0637B923" w14:textId="77777777" w:rsidR="00D645E6" w:rsidRPr="005F30EB" w:rsidRDefault="00D645E6" w:rsidP="00641675">
            <w:pPr>
              <w:pStyle w:val="TableHeading"/>
              <w:rPr>
                <w:rStyle w:val="Strong"/>
              </w:rPr>
            </w:pPr>
            <w:r w:rsidRPr="005F30EB">
              <w:rPr>
                <w:rStyle w:val="Strong"/>
              </w:rPr>
              <w:t>Contact</w:t>
            </w:r>
          </w:p>
        </w:tc>
      </w:tr>
      <w:tr w:rsidR="00AA5BA1" w:rsidRPr="005F30EB" w14:paraId="050420B4" w14:textId="77777777" w:rsidTr="00825B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83EC470" w14:textId="77777777" w:rsidR="00D645E6" w:rsidRPr="00AA5BA1" w:rsidRDefault="00D645E6" w:rsidP="00AA5BA1">
            <w:pPr>
              <w:pStyle w:val="TableTextNormal"/>
              <w:rPr>
                <w:b w:val="0"/>
              </w:rPr>
            </w:pPr>
            <w:r w:rsidRPr="00AA5BA1">
              <w:rPr>
                <w:b w:val="0"/>
              </w:rPr>
              <w:t>VAPAC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</w:tcPr>
          <w:p w14:paraId="0B02C9CB" w14:textId="77777777" w:rsidR="00D645E6" w:rsidRPr="00AA5BA1" w:rsidRDefault="00D645E6" w:rsidP="00AA5BA1">
            <w:pPr>
              <w:pStyle w:val="TableTextNormal"/>
              <w:rPr>
                <w:b w:val="0"/>
              </w:rPr>
            </w:pPr>
            <w:r w:rsidRPr="00AA5BA1">
              <w:rPr>
                <w:b w:val="0"/>
              </w:rPr>
              <w:t>1800 552 580</w:t>
            </w:r>
          </w:p>
        </w:tc>
      </w:tr>
      <w:tr w:rsidR="00641675" w:rsidRPr="005F30EB" w14:paraId="1786BF30" w14:textId="77777777" w:rsidTr="00825B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A675676" w14:textId="77777777" w:rsidR="00D645E6" w:rsidRPr="00AA5BA1" w:rsidRDefault="00D645E6" w:rsidP="00AA5BA1">
            <w:pPr>
              <w:pStyle w:val="TableTextNormal"/>
              <w:rPr>
                <w:b w:val="0"/>
              </w:rPr>
            </w:pPr>
            <w:r w:rsidRPr="00AA5BA1">
              <w:rPr>
                <w:b w:val="0"/>
              </w:rPr>
              <w:t>DVA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</w:tcPr>
          <w:p w14:paraId="396CA1C4" w14:textId="77777777" w:rsidR="00D645E6" w:rsidRPr="00AA5BA1" w:rsidRDefault="00D645E6" w:rsidP="00AA5BA1">
            <w:pPr>
              <w:pStyle w:val="TableTextNormal"/>
              <w:rPr>
                <w:b w:val="0"/>
              </w:rPr>
            </w:pPr>
            <w:r w:rsidRPr="00AA5BA1">
              <w:rPr>
                <w:b w:val="0"/>
              </w:rPr>
              <w:t>1800 VETERAN (1800 838 372)</w:t>
            </w:r>
          </w:p>
        </w:tc>
      </w:tr>
      <w:tr w:rsidR="00641675" w:rsidRPr="005F30EB" w14:paraId="2B769A8E" w14:textId="77777777" w:rsidTr="00825B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none" w:sz="0" w:space="0" w:color="auto"/>
            </w:tcBorders>
          </w:tcPr>
          <w:p w14:paraId="276145E4" w14:textId="77777777" w:rsidR="00D645E6" w:rsidRPr="00AA5BA1" w:rsidRDefault="00D645E6" w:rsidP="00AA5BA1">
            <w:pPr>
              <w:pStyle w:val="TableTextNormal"/>
              <w:rPr>
                <w:b w:val="0"/>
              </w:rPr>
            </w:pPr>
            <w:r w:rsidRPr="00AA5BA1">
              <w:rPr>
                <w:b w:val="0"/>
              </w:rPr>
              <w:t>VAPAC email enquiries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  <w:tcBorders>
              <w:top w:val="none" w:sz="0" w:space="0" w:color="auto"/>
            </w:tcBorders>
          </w:tcPr>
          <w:p w14:paraId="59C3112C" w14:textId="77777777" w:rsidR="00D645E6" w:rsidRPr="00AA5BA1" w:rsidRDefault="005D689D" w:rsidP="00AA5BA1">
            <w:pPr>
              <w:pStyle w:val="TableTextNormal"/>
              <w:rPr>
                <w:b w:val="0"/>
              </w:rPr>
            </w:pPr>
            <w:hyperlink r:id="rId9" w:history="1">
              <w:r w:rsidR="00D645E6" w:rsidRPr="00AA5BA1">
                <w:rPr>
                  <w:rStyle w:val="Hyperlink"/>
                  <w:b w:val="0"/>
                </w:rPr>
                <w:t>PPO@dva.gov.au</w:t>
              </w:r>
            </w:hyperlink>
          </w:p>
        </w:tc>
      </w:tr>
    </w:tbl>
    <w:p w14:paraId="0716BC90" w14:textId="3503D9FC" w:rsidR="00D645E6" w:rsidRPr="005F30EB" w:rsidRDefault="009E274F" w:rsidP="00C502AC">
      <w:pPr>
        <w:pStyle w:val="Heading2"/>
      </w:pPr>
      <w:bookmarkStart w:id="7" w:name="_Toc114473196"/>
      <w:r>
        <w:t>B</w:t>
      </w:r>
      <w:r w:rsidR="00D645E6" w:rsidRPr="005F30EB">
        <w:t xml:space="preserve">enefits </w:t>
      </w:r>
      <w:r w:rsidR="00D645E6" w:rsidRPr="00475538">
        <w:rPr>
          <w:sz w:val="28"/>
        </w:rPr>
        <w:t>(current as at 1 September 2022)</w:t>
      </w:r>
      <w:bookmarkEnd w:id="7"/>
    </w:p>
    <w:tbl>
      <w:tblPr>
        <w:tblStyle w:val="HomeAffairsTable"/>
        <w:tblW w:w="9072" w:type="dxa"/>
        <w:jc w:val="center"/>
        <w:tblLook w:val="04A0" w:firstRow="1" w:lastRow="0" w:firstColumn="1" w:lastColumn="0" w:noHBand="0" w:noVBand="1"/>
      </w:tblPr>
      <w:tblGrid>
        <w:gridCol w:w="3420"/>
        <w:gridCol w:w="2288"/>
        <w:gridCol w:w="1683"/>
        <w:gridCol w:w="1681"/>
      </w:tblGrid>
      <w:tr w:rsidR="00C502AC" w:rsidRPr="00405E6B" w14:paraId="1D2E1429" w14:textId="77777777" w:rsidTr="00FE0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bottom w:val="single" w:sz="8" w:space="0" w:color="FFFFFF" w:themeColor="background1"/>
            </w:tcBorders>
            <w:shd w:val="clear" w:color="auto" w:fill="223C72"/>
            <w:vAlign w:val="top"/>
          </w:tcPr>
          <w:p w14:paraId="220C5B92" w14:textId="300EE0F6" w:rsidR="00C502AC" w:rsidRPr="00405E6B" w:rsidRDefault="00C502AC" w:rsidP="00C502AC">
            <w:pPr>
              <w:pStyle w:val="TableColumnHead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288" w:type="dxa"/>
            <w:tcBorders>
              <w:bottom w:val="single" w:sz="8" w:space="0" w:color="FFFFFF" w:themeColor="background1"/>
            </w:tcBorders>
            <w:shd w:val="clear" w:color="auto" w:fill="223C72"/>
          </w:tcPr>
          <w:p w14:paraId="0C16D94A" w14:textId="23B24C0F" w:rsidR="00C502AC" w:rsidRPr="00C502AC" w:rsidRDefault="00C502AC" w:rsidP="00C502AC">
            <w:pPr>
              <w:pStyle w:val="TableColumn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502AC">
              <w:rPr>
                <w:b/>
              </w:rPr>
              <w:t>Who</w:t>
            </w:r>
          </w:p>
        </w:tc>
        <w:tc>
          <w:tcPr>
            <w:tcW w:w="1683" w:type="dxa"/>
            <w:tcBorders>
              <w:bottom w:val="single" w:sz="8" w:space="0" w:color="FFFFFF" w:themeColor="background1"/>
            </w:tcBorders>
            <w:shd w:val="clear" w:color="auto" w:fill="223C72"/>
            <w:vAlign w:val="top"/>
          </w:tcPr>
          <w:p w14:paraId="4F21B460" w14:textId="36A8FDA1" w:rsidR="00C502AC" w:rsidRPr="00405E6B" w:rsidRDefault="00C502AC" w:rsidP="00C502AC">
            <w:pPr>
              <w:pStyle w:val="TableColumn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Item number</w:t>
            </w:r>
          </w:p>
        </w:tc>
        <w:tc>
          <w:tcPr>
            <w:tcW w:w="1681" w:type="dxa"/>
            <w:tcBorders>
              <w:bottom w:val="single" w:sz="8" w:space="0" w:color="FFFFFF" w:themeColor="background1"/>
            </w:tcBorders>
            <w:shd w:val="clear" w:color="auto" w:fill="223C72"/>
            <w:vAlign w:val="top"/>
          </w:tcPr>
          <w:p w14:paraId="5B119386" w14:textId="579EABFB" w:rsidR="00C502AC" w:rsidRPr="00405E6B" w:rsidRDefault="00C502AC">
            <w:pPr>
              <w:pStyle w:val="TableColumn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Fee</w:t>
            </w:r>
          </w:p>
        </w:tc>
      </w:tr>
      <w:tr w:rsidR="00C502AC" w14:paraId="2ED34AF6" w14:textId="77777777" w:rsidTr="00FE0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bottom w:val="single" w:sz="8" w:space="0" w:color="4EBBC2"/>
            </w:tcBorders>
            <w:vAlign w:val="top"/>
          </w:tcPr>
          <w:p w14:paraId="65D6F716" w14:textId="7085884E" w:rsidR="00C502AC" w:rsidRPr="00C502AC" w:rsidRDefault="00C502AC" w:rsidP="00C502AC">
            <w:pPr>
              <w:pStyle w:val="TableTextNormal"/>
              <w:rPr>
                <w:b w:val="0"/>
              </w:rPr>
            </w:pPr>
            <w:r w:rsidRPr="00C502AC">
              <w:rPr>
                <w:b w:val="0"/>
              </w:rPr>
              <w:t>Home Medicines Review</w:t>
            </w:r>
          </w:p>
          <w:p w14:paraId="0BC822E4" w14:textId="748109FC" w:rsidR="00C502AC" w:rsidRPr="00C502AC" w:rsidRDefault="00B7105F" w:rsidP="00C502AC">
            <w:pPr>
              <w:pStyle w:val="TableTextNormal"/>
              <w:rPr>
                <w:b w:val="0"/>
              </w:rPr>
            </w:pPr>
            <w:r>
              <w:rPr>
                <w:b w:val="0"/>
              </w:rPr>
              <w:t>(r</w:t>
            </w:r>
            <w:r w:rsidR="00C502AC" w:rsidRPr="00C502AC">
              <w:rPr>
                <w:b w:val="0"/>
              </w:rPr>
              <w:t>eport for GP review</w:t>
            </w:r>
            <w:r>
              <w:rPr>
                <w:b w:val="0"/>
              </w:rPr>
              <w:t>)</w:t>
            </w:r>
          </w:p>
        </w:tc>
        <w:tc>
          <w:tcPr>
            <w:tcW w:w="2288" w:type="dxa"/>
            <w:tcBorders>
              <w:bottom w:val="single" w:sz="8" w:space="0" w:color="4EBBC2"/>
            </w:tcBorders>
            <w:vAlign w:val="top"/>
          </w:tcPr>
          <w:p w14:paraId="4072A07A" w14:textId="12C98F6E" w:rsidR="00C502AC" w:rsidRPr="00C502AC" w:rsidRDefault="00C502AC">
            <w:pPr>
              <w:pStyle w:val="TableText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59D5">
              <w:t>Accredited pharmacist</w:t>
            </w:r>
            <w:r w:rsidR="00A20B9A">
              <w:t>,</w:t>
            </w:r>
            <w:r w:rsidRPr="003659D5">
              <w:t xml:space="preserve"> through community pharmacy</w:t>
            </w:r>
            <w:r w:rsidR="00A20B9A">
              <w:t xml:space="preserve"> or ABN business </w:t>
            </w:r>
          </w:p>
        </w:tc>
        <w:tc>
          <w:tcPr>
            <w:tcW w:w="1683" w:type="dxa"/>
            <w:tcBorders>
              <w:bottom w:val="single" w:sz="8" w:space="0" w:color="4EBBC2"/>
            </w:tcBorders>
            <w:vAlign w:val="top"/>
          </w:tcPr>
          <w:p w14:paraId="17EF4EEF" w14:textId="5968BE59" w:rsidR="00C502AC" w:rsidRPr="00C502AC" w:rsidRDefault="00C502AC" w:rsidP="00C502AC">
            <w:pPr>
              <w:pStyle w:val="TableText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59D5">
              <w:t>NA</w:t>
            </w:r>
          </w:p>
        </w:tc>
        <w:tc>
          <w:tcPr>
            <w:tcW w:w="1681" w:type="dxa"/>
            <w:tcBorders>
              <w:bottom w:val="single" w:sz="8" w:space="0" w:color="4EBBC2"/>
            </w:tcBorders>
            <w:vAlign w:val="top"/>
          </w:tcPr>
          <w:p w14:paraId="52B3F2F3" w14:textId="77702226" w:rsidR="00C502AC" w:rsidRPr="000741B3" w:rsidRDefault="00C502AC" w:rsidP="00C502AC">
            <w:pPr>
              <w:pStyle w:val="TableText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0741B3">
              <w:rPr>
                <w:vertAlign w:val="superscript"/>
              </w:rPr>
              <w:t>*1</w:t>
            </w:r>
          </w:p>
        </w:tc>
      </w:tr>
      <w:tr w:rsidR="00C502AC" w14:paraId="6C93B799" w14:textId="77777777" w:rsidTr="00FE0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top w:val="single" w:sz="8" w:space="0" w:color="4EBBC2"/>
              <w:bottom w:val="single" w:sz="8" w:space="0" w:color="4EBBC2"/>
            </w:tcBorders>
            <w:shd w:val="clear" w:color="auto" w:fill="auto"/>
            <w:vAlign w:val="top"/>
          </w:tcPr>
          <w:p w14:paraId="7AEF9681" w14:textId="55276AF0" w:rsidR="00C502AC" w:rsidRPr="00C502AC" w:rsidRDefault="00C502AC" w:rsidP="00C502AC">
            <w:pPr>
              <w:pStyle w:val="TableTextNormal"/>
              <w:rPr>
                <w:b w:val="0"/>
              </w:rPr>
            </w:pPr>
            <w:r w:rsidRPr="00C502AC">
              <w:rPr>
                <w:b w:val="0"/>
              </w:rPr>
              <w:t>Dispense DAA weekly for 26 weeks</w:t>
            </w:r>
          </w:p>
        </w:tc>
        <w:tc>
          <w:tcPr>
            <w:tcW w:w="2288" w:type="dxa"/>
            <w:tcBorders>
              <w:top w:val="single" w:sz="8" w:space="0" w:color="4EBBC2"/>
              <w:bottom w:val="single" w:sz="8" w:space="0" w:color="4EBBC2"/>
            </w:tcBorders>
            <w:shd w:val="clear" w:color="auto" w:fill="auto"/>
            <w:vAlign w:val="top"/>
          </w:tcPr>
          <w:p w14:paraId="30C9F6D5" w14:textId="643E6409" w:rsidR="00C502AC" w:rsidRPr="00C502AC" w:rsidRDefault="00C502AC" w:rsidP="00C502AC">
            <w:pPr>
              <w:pStyle w:val="TableText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575A">
              <w:t>Pharmacist</w:t>
            </w:r>
          </w:p>
        </w:tc>
        <w:tc>
          <w:tcPr>
            <w:tcW w:w="1683" w:type="dxa"/>
            <w:tcBorders>
              <w:top w:val="single" w:sz="8" w:space="0" w:color="4EBBC2"/>
              <w:bottom w:val="single" w:sz="8" w:space="0" w:color="4EBBC2"/>
            </w:tcBorders>
            <w:shd w:val="clear" w:color="auto" w:fill="auto"/>
            <w:vAlign w:val="top"/>
          </w:tcPr>
          <w:p w14:paraId="546DDC95" w14:textId="02D5AB7E" w:rsidR="00C502AC" w:rsidRPr="00C502AC" w:rsidRDefault="00C502AC" w:rsidP="00C502AC">
            <w:pPr>
              <w:pStyle w:val="TableText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575A">
              <w:t>99647N</w:t>
            </w:r>
          </w:p>
        </w:tc>
        <w:tc>
          <w:tcPr>
            <w:tcW w:w="1681" w:type="dxa"/>
            <w:tcBorders>
              <w:top w:val="single" w:sz="8" w:space="0" w:color="4EBBC2"/>
              <w:bottom w:val="single" w:sz="8" w:space="0" w:color="4EBBC2"/>
            </w:tcBorders>
            <w:shd w:val="clear" w:color="auto" w:fill="auto"/>
            <w:vAlign w:val="top"/>
          </w:tcPr>
          <w:p w14:paraId="15B41493" w14:textId="61A22BF5" w:rsidR="00C502AC" w:rsidRPr="00C502AC" w:rsidRDefault="00DF5550" w:rsidP="00C502AC">
            <w:pPr>
              <w:pStyle w:val="TableText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C71882">
              <w:t xml:space="preserve">10.00 </w:t>
            </w:r>
            <w:r w:rsidR="00C71882">
              <w:rPr>
                <w:rFonts w:ascii="Cambria Math" w:hAnsi="Cambria Math"/>
              </w:rPr>
              <w:t xml:space="preserve">× </w:t>
            </w:r>
            <w:r w:rsidR="00C502AC" w:rsidRPr="0045628F">
              <w:t>26</w:t>
            </w:r>
          </w:p>
        </w:tc>
      </w:tr>
      <w:tr w:rsidR="00C502AC" w14:paraId="491BCAFC" w14:textId="77777777" w:rsidTr="00FE0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top w:val="single" w:sz="8" w:space="0" w:color="4EBBC2"/>
              <w:bottom w:val="single" w:sz="18" w:space="0" w:color="4EBBC2"/>
            </w:tcBorders>
            <w:shd w:val="clear" w:color="auto" w:fill="auto"/>
            <w:vAlign w:val="top"/>
          </w:tcPr>
          <w:p w14:paraId="77ABD259" w14:textId="77777777" w:rsidR="00C502AC" w:rsidRDefault="00C502AC" w:rsidP="00C502AC">
            <w:pPr>
              <w:pStyle w:val="TableTextNormal"/>
              <w:rPr>
                <w:b w:val="0"/>
              </w:rPr>
            </w:pPr>
            <w:r>
              <w:rPr>
                <w:b w:val="0"/>
              </w:rPr>
              <w:t>VSMR</w:t>
            </w:r>
          </w:p>
          <w:p w14:paraId="7DAAB2D4" w14:textId="2E3DEB32" w:rsidR="00C502AC" w:rsidRPr="00C502AC" w:rsidRDefault="00B7105F" w:rsidP="00B7105F">
            <w:pPr>
              <w:pStyle w:val="TableTextNormal"/>
              <w:rPr>
                <w:b w:val="0"/>
              </w:rPr>
            </w:pPr>
            <w:r>
              <w:rPr>
                <w:b w:val="0"/>
              </w:rPr>
              <w:t>(r</w:t>
            </w:r>
            <w:r w:rsidR="00C502AC">
              <w:rPr>
                <w:b w:val="0"/>
              </w:rPr>
              <w:t>eport for GP review</w:t>
            </w:r>
            <w:r>
              <w:rPr>
                <w:b w:val="0"/>
              </w:rPr>
              <w:t>)</w:t>
            </w:r>
          </w:p>
        </w:tc>
        <w:tc>
          <w:tcPr>
            <w:tcW w:w="2288" w:type="dxa"/>
            <w:tcBorders>
              <w:top w:val="single" w:sz="8" w:space="0" w:color="4EBBC2"/>
              <w:bottom w:val="single" w:sz="18" w:space="0" w:color="4EBBC2"/>
            </w:tcBorders>
            <w:shd w:val="clear" w:color="auto" w:fill="auto"/>
            <w:vAlign w:val="top"/>
          </w:tcPr>
          <w:p w14:paraId="4BD25358" w14:textId="30DB222C" w:rsidR="00C502AC" w:rsidRPr="00C502AC" w:rsidRDefault="00C502AC" w:rsidP="00C502AC">
            <w:pPr>
              <w:pStyle w:val="TableText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628F">
              <w:t xml:space="preserve">Community </w:t>
            </w:r>
            <w:r>
              <w:t>p</w:t>
            </w:r>
            <w:r w:rsidRPr="0045628F">
              <w:t>harmacist</w:t>
            </w:r>
          </w:p>
        </w:tc>
        <w:tc>
          <w:tcPr>
            <w:tcW w:w="1683" w:type="dxa"/>
            <w:tcBorders>
              <w:top w:val="single" w:sz="8" w:space="0" w:color="4EBBC2"/>
              <w:bottom w:val="single" w:sz="18" w:space="0" w:color="4EBBC2"/>
            </w:tcBorders>
            <w:shd w:val="clear" w:color="auto" w:fill="auto"/>
            <w:vAlign w:val="top"/>
          </w:tcPr>
          <w:p w14:paraId="189B59CB" w14:textId="0E253665" w:rsidR="00C502AC" w:rsidRPr="00C502AC" w:rsidRDefault="00C502AC" w:rsidP="00C502AC">
            <w:pPr>
              <w:pStyle w:val="TableText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628F">
              <w:t>99648P</w:t>
            </w:r>
          </w:p>
        </w:tc>
        <w:tc>
          <w:tcPr>
            <w:tcW w:w="1681" w:type="dxa"/>
            <w:tcBorders>
              <w:top w:val="single" w:sz="8" w:space="0" w:color="4EBBC2"/>
              <w:bottom w:val="single" w:sz="18" w:space="0" w:color="4EBBC2"/>
            </w:tcBorders>
            <w:shd w:val="clear" w:color="auto" w:fill="auto"/>
            <w:vAlign w:val="top"/>
          </w:tcPr>
          <w:p w14:paraId="1AD06E15" w14:textId="53A5443A" w:rsidR="00C502AC" w:rsidRPr="00C502AC" w:rsidRDefault="00DF5550" w:rsidP="00C502AC">
            <w:pPr>
              <w:pStyle w:val="TableText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02AC" w:rsidRPr="0045628F">
              <w:t>100.00</w:t>
            </w:r>
          </w:p>
        </w:tc>
      </w:tr>
      <w:tr w:rsidR="00C502AC" w14:paraId="165CFA89" w14:textId="77777777" w:rsidTr="00E15B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8" w:space="0" w:color="4EBBC2"/>
              <w:bottom w:val="nil"/>
            </w:tcBorders>
            <w:shd w:val="clear" w:color="auto" w:fill="auto"/>
          </w:tcPr>
          <w:p w14:paraId="4D56F41A" w14:textId="2803D542" w:rsidR="00C502AC" w:rsidRPr="00C502AC" w:rsidRDefault="00C502AC" w:rsidP="003409BF">
            <w:pPr>
              <w:pStyle w:val="Tablebody"/>
              <w:rPr>
                <w:b w:val="0"/>
              </w:rPr>
            </w:pPr>
            <w:r w:rsidRPr="00C502AC">
              <w:rPr>
                <w:b w:val="0"/>
              </w:rPr>
              <w:lastRenderedPageBreak/>
              <w:t xml:space="preserve">*1 Only </w:t>
            </w:r>
            <w:r w:rsidR="000741B3">
              <w:rPr>
                <w:b w:val="0"/>
              </w:rPr>
              <w:t xml:space="preserve">a business entity with an ABN, </w:t>
            </w:r>
            <w:r w:rsidR="003409BF">
              <w:rPr>
                <w:b w:val="0"/>
              </w:rPr>
              <w:t>plus</w:t>
            </w:r>
            <w:r w:rsidR="000741B3">
              <w:rPr>
                <w:b w:val="0"/>
              </w:rPr>
              <w:t xml:space="preserve"> relationship with an </w:t>
            </w:r>
            <w:r w:rsidR="009137C8">
              <w:rPr>
                <w:b w:val="0"/>
              </w:rPr>
              <w:t xml:space="preserve">accredited </w:t>
            </w:r>
            <w:r w:rsidRPr="00C502AC">
              <w:rPr>
                <w:b w:val="0"/>
              </w:rPr>
              <w:t>pharmac</w:t>
            </w:r>
            <w:r w:rsidR="009137C8">
              <w:rPr>
                <w:b w:val="0"/>
              </w:rPr>
              <w:t xml:space="preserve">ist </w:t>
            </w:r>
            <w:r w:rsidRPr="00C502AC">
              <w:rPr>
                <w:b w:val="0"/>
              </w:rPr>
              <w:t>registered with Medicare</w:t>
            </w:r>
            <w:r w:rsidR="009137C8">
              <w:rPr>
                <w:b w:val="0"/>
              </w:rPr>
              <w:t xml:space="preserve"> </w:t>
            </w:r>
            <w:r w:rsidRPr="00C502AC">
              <w:rPr>
                <w:b w:val="0"/>
              </w:rPr>
              <w:t>to provide a HMR</w:t>
            </w:r>
            <w:r w:rsidR="000741B3">
              <w:rPr>
                <w:b w:val="0"/>
              </w:rPr>
              <w:t>,</w:t>
            </w:r>
            <w:r w:rsidRPr="00C502AC">
              <w:rPr>
                <w:b w:val="0"/>
              </w:rPr>
              <w:t xml:space="preserve"> is eligible. Fees subject to change: refer to the </w:t>
            </w:r>
            <w:hyperlink r:id="rId10" w:history="1">
              <w:r w:rsidRPr="00915818">
                <w:rPr>
                  <w:rStyle w:val="Hyperlink"/>
                  <w:b w:val="0"/>
                </w:rPr>
                <w:t>Pharmacy Programs Administrator</w:t>
              </w:r>
            </w:hyperlink>
            <w:r w:rsidRPr="00C502AC">
              <w:rPr>
                <w:b w:val="0"/>
              </w:rPr>
              <w:t>.</w:t>
            </w:r>
          </w:p>
        </w:tc>
      </w:tr>
    </w:tbl>
    <w:p w14:paraId="1FA625C7" w14:textId="7481972B" w:rsidR="00D645E6" w:rsidRPr="005F30EB" w:rsidRDefault="00D645E6" w:rsidP="00587807">
      <w:pPr>
        <w:pStyle w:val="Heading2"/>
      </w:pPr>
      <w:bookmarkStart w:id="8" w:name="_Toc114473197"/>
      <w:r w:rsidRPr="005F30EB">
        <w:t>Veterans</w:t>
      </w:r>
      <w:r>
        <w:t>’</w:t>
      </w:r>
      <w:r w:rsidRPr="005F30EB">
        <w:t xml:space="preserve"> </w:t>
      </w:r>
      <w:r>
        <w:t>e</w:t>
      </w:r>
      <w:r w:rsidRPr="005F30EB">
        <w:t xml:space="preserve">ligibility </w:t>
      </w:r>
      <w:r>
        <w:t>c</w:t>
      </w:r>
      <w:r w:rsidRPr="005F30EB">
        <w:t>riteria</w:t>
      </w:r>
      <w:bookmarkEnd w:id="8"/>
    </w:p>
    <w:p w14:paraId="440409F3" w14:textId="77777777" w:rsidR="00D645E6" w:rsidRPr="00DA5B92" w:rsidRDefault="00D645E6" w:rsidP="00B07BF2">
      <w:pPr>
        <w:pStyle w:val="ListAlphaNum"/>
        <w:rPr>
          <w:b/>
        </w:rPr>
      </w:pPr>
      <w:r w:rsidRPr="005F30EB">
        <w:t xml:space="preserve">Veterans must hold either a </w:t>
      </w:r>
      <w:r w:rsidRPr="00DA5B92">
        <w:rPr>
          <w:rStyle w:val="Strong"/>
          <w:b w:val="0"/>
        </w:rPr>
        <w:t>Gold, White</w:t>
      </w:r>
      <w:r w:rsidRPr="00DA5B92">
        <w:rPr>
          <w:b/>
        </w:rPr>
        <w:t xml:space="preserve"> </w:t>
      </w:r>
      <w:r w:rsidRPr="00DA5B92">
        <w:t>or</w:t>
      </w:r>
      <w:r w:rsidRPr="00DA5B92">
        <w:rPr>
          <w:b/>
        </w:rPr>
        <w:t xml:space="preserve"> </w:t>
      </w:r>
      <w:r w:rsidRPr="00DA5B92">
        <w:rPr>
          <w:rStyle w:val="Strong"/>
          <w:b w:val="0"/>
        </w:rPr>
        <w:t xml:space="preserve">Orange </w:t>
      </w:r>
      <w:r w:rsidRPr="00DA5B92">
        <w:t>Card.</w:t>
      </w:r>
    </w:p>
    <w:p w14:paraId="69FE9421" w14:textId="601772F2" w:rsidR="00D645E6" w:rsidRPr="003312D5" w:rsidRDefault="00D645E6" w:rsidP="00B07BF2">
      <w:pPr>
        <w:pStyle w:val="ListAlphaNum"/>
      </w:pPr>
      <w:r w:rsidRPr="005F30EB">
        <w:t xml:space="preserve">Veterans must live in the community and not in a </w:t>
      </w:r>
      <w:r>
        <w:t>r</w:t>
      </w:r>
      <w:r w:rsidRPr="005F30EB">
        <w:t xml:space="preserve">esidential </w:t>
      </w:r>
      <w:r>
        <w:t>c</w:t>
      </w:r>
      <w:r w:rsidRPr="005F30EB">
        <w:t xml:space="preserve">are facility </w:t>
      </w:r>
      <w:r w:rsidRPr="003312D5">
        <w:t>or hospital.</w:t>
      </w:r>
    </w:p>
    <w:p w14:paraId="6685A28F" w14:textId="49F9B2EE" w:rsidR="00D645E6" w:rsidRPr="003312D5" w:rsidRDefault="00D645E6" w:rsidP="00B07BF2">
      <w:pPr>
        <w:pStyle w:val="ListAlphaNum"/>
      </w:pPr>
      <w:r w:rsidRPr="007B26DA">
        <w:t xml:space="preserve">Veterans </w:t>
      </w:r>
      <w:r w:rsidR="009E274F">
        <w:t>should</w:t>
      </w:r>
      <w:r w:rsidR="009E274F" w:rsidRPr="007B26DA">
        <w:t xml:space="preserve"> </w:t>
      </w:r>
      <w:r w:rsidRPr="007B26DA">
        <w:t>meet the criteria for a Home Medicines Review</w:t>
      </w:r>
      <w:r>
        <w:t>:</w:t>
      </w:r>
      <w:r w:rsidRPr="007B26DA">
        <w:t xml:space="preserve"> </w:t>
      </w:r>
      <w:r w:rsidRPr="00701CFC">
        <w:t xml:space="preserve">refer to item number 900 on the </w:t>
      </w:r>
      <w:hyperlink r:id="rId11" w:history="1">
        <w:r>
          <w:rPr>
            <w:rStyle w:val="Hyperlink"/>
          </w:rPr>
          <w:t>MBS</w:t>
        </w:r>
      </w:hyperlink>
      <w:r w:rsidRPr="003312D5">
        <w:t>.</w:t>
      </w:r>
    </w:p>
    <w:p w14:paraId="2FBA295B" w14:textId="77777777" w:rsidR="00D645E6" w:rsidRPr="005F30EB" w:rsidRDefault="00D645E6" w:rsidP="00B07BF2">
      <w:pPr>
        <w:pStyle w:val="ListAlphaNum"/>
      </w:pPr>
      <w:r w:rsidRPr="005F30EB">
        <w:t xml:space="preserve">Veterans must be </w:t>
      </w:r>
      <w:r w:rsidRPr="00DA5B92">
        <w:rPr>
          <w:rStyle w:val="Strong"/>
          <w:b w:val="0"/>
        </w:rPr>
        <w:t>likely to benefit</w:t>
      </w:r>
      <w:r w:rsidRPr="005F30EB">
        <w:t xml:space="preserve"> from the DAA </w:t>
      </w:r>
      <w:r>
        <w:t>s</w:t>
      </w:r>
      <w:r w:rsidRPr="005F30EB">
        <w:t>ervice.</w:t>
      </w:r>
    </w:p>
    <w:p w14:paraId="25964493" w14:textId="77777777" w:rsidR="00D645E6" w:rsidRPr="005F30EB" w:rsidRDefault="00D645E6" w:rsidP="00D645E6">
      <w:pPr>
        <w:pStyle w:val="Heading3"/>
      </w:pPr>
      <w:bookmarkStart w:id="9" w:name="_Toc114473199"/>
      <w:r w:rsidRPr="005F30EB">
        <w:t xml:space="preserve">Veterans must provide </w:t>
      </w:r>
      <w:r>
        <w:t>verbal</w:t>
      </w:r>
      <w:r w:rsidRPr="005F30EB">
        <w:t xml:space="preserve"> consent to:</w:t>
      </w:r>
      <w:bookmarkEnd w:id="9"/>
    </w:p>
    <w:p w14:paraId="10D18236" w14:textId="7ABA1D66" w:rsidR="00D645E6" w:rsidRPr="00B07BF2" w:rsidRDefault="00D645E6" w:rsidP="00B07BF2">
      <w:pPr>
        <w:pStyle w:val="ListBullet"/>
      </w:pPr>
      <w:r w:rsidRPr="00B07BF2">
        <w:t>a Home Medicines Review</w:t>
      </w:r>
      <w:r w:rsidR="009E274F">
        <w:t xml:space="preserve"> if recommended by the doctor</w:t>
      </w:r>
      <w:r w:rsidRPr="00B07BF2">
        <w:t>, and any later reviews involving the community pharmacy and other health professionals involved in their care</w:t>
      </w:r>
    </w:p>
    <w:p w14:paraId="507D1E0B" w14:textId="77777777" w:rsidR="00D645E6" w:rsidRPr="00B07BF2" w:rsidRDefault="00D645E6" w:rsidP="00B07BF2">
      <w:pPr>
        <w:pStyle w:val="ListBullet"/>
      </w:pPr>
      <w:r w:rsidRPr="00B07BF2">
        <w:t>communication between their health care professionals – especially pharmacists and GPs – about their conditions and medications</w:t>
      </w:r>
    </w:p>
    <w:p w14:paraId="6AF67053" w14:textId="0B523AD1" w:rsidR="00D645E6" w:rsidRPr="00B07BF2" w:rsidRDefault="00D645E6" w:rsidP="00B07BF2">
      <w:pPr>
        <w:pStyle w:val="ListBullet"/>
      </w:pPr>
      <w:r w:rsidRPr="00B07BF2">
        <w:t>providing their DVA file number to the pharmacist and Medicare for payment purposes</w:t>
      </w:r>
      <w:r w:rsidR="009137C8">
        <w:t>.</w:t>
      </w:r>
    </w:p>
    <w:p w14:paraId="31A568BE" w14:textId="6C7A623A" w:rsidR="00D645E6" w:rsidRPr="005F30EB" w:rsidRDefault="00D645E6" w:rsidP="00D645E6">
      <w:pPr>
        <w:pStyle w:val="Heading3"/>
      </w:pPr>
      <w:bookmarkStart w:id="10" w:name="_Toc114473200"/>
      <w:r w:rsidRPr="005F30EB">
        <w:t>Veterans are responsible for:</w:t>
      </w:r>
      <w:bookmarkEnd w:id="10"/>
    </w:p>
    <w:p w14:paraId="31B004E9" w14:textId="77777777" w:rsidR="00D645E6" w:rsidRPr="00B07BF2" w:rsidRDefault="00D645E6" w:rsidP="00B07BF2">
      <w:pPr>
        <w:pStyle w:val="ListBullet"/>
      </w:pPr>
      <w:r w:rsidRPr="00B07BF2">
        <w:t>meeting any additional costs not covered by DVA, including additional GP consultations (especially Orange Card holders)</w:t>
      </w:r>
    </w:p>
    <w:p w14:paraId="48B927D9" w14:textId="77777777" w:rsidR="00D645E6" w:rsidRPr="00B07BF2" w:rsidRDefault="00D645E6" w:rsidP="00B07BF2">
      <w:pPr>
        <w:pStyle w:val="ListBullet"/>
      </w:pPr>
      <w:r w:rsidRPr="00B07BF2">
        <w:t>providing all solid oral medicines (including relevant non-prescription medicines) to their community pharmacy for packing, and attending the pharmacy to collect the DAA weekly, as agreed with the pharmacist</w:t>
      </w:r>
    </w:p>
    <w:p w14:paraId="4773DE38" w14:textId="68E2BBC6" w:rsidR="00E7021A" w:rsidRPr="00E7021A" w:rsidRDefault="00D645E6" w:rsidP="00E7021A">
      <w:pPr>
        <w:pStyle w:val="ListBullet"/>
      </w:pPr>
      <w:r w:rsidRPr="00B07BF2">
        <w:t>informing the pharmacist of any changes to their medicines in a timely manner.</w:t>
      </w:r>
      <w:bookmarkEnd w:id="5"/>
    </w:p>
    <w:sectPr w:rsidR="00E7021A" w:rsidRPr="00E7021A" w:rsidSect="00A651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2268" w:right="1134" w:bottom="1134" w:left="1701" w:header="595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C4180" w14:textId="77777777" w:rsidR="00FB43DE" w:rsidRDefault="00FB43DE" w:rsidP="005F5C2D">
      <w:r>
        <w:separator/>
      </w:r>
    </w:p>
  </w:endnote>
  <w:endnote w:type="continuationSeparator" w:id="0">
    <w:p w14:paraId="1B5186D9" w14:textId="77777777" w:rsidR="00FB43DE" w:rsidRDefault="00FB43DE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20F14" w14:textId="77777777" w:rsidR="005D689D" w:rsidRDefault="005D6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280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F8FD7" w14:textId="002E6F5D" w:rsidR="00EA2158" w:rsidRDefault="0044387F" w:rsidP="009B7FF1">
        <w:pPr>
          <w:pStyle w:val="Footer"/>
          <w:spacing w:before="240"/>
          <w:jc w:val="right"/>
        </w:pPr>
        <w:r>
          <w:rPr>
            <w:noProof/>
            <w:lang w:val="en-AU" w:eastAsia="en-AU"/>
          </w:rPr>
          <w:drawing>
            <wp:anchor distT="0" distB="0" distL="114300" distR="114300" simplePos="0" relativeHeight="251660288" behindDoc="1" locked="0" layoutInCell="1" allowOverlap="1" wp14:anchorId="574205D5" wp14:editId="1AE697CB">
              <wp:simplePos x="0" y="0"/>
              <wp:positionH relativeFrom="page">
                <wp:posOffset>-66675</wp:posOffset>
              </wp:positionH>
              <wp:positionV relativeFrom="paragraph">
                <wp:posOffset>-96520</wp:posOffset>
              </wp:positionV>
              <wp:extent cx="8211185" cy="787383"/>
              <wp:effectExtent l="0" t="0" r="0" b="0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andscape-footer-BlueTeal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11185" cy="7873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A2158">
          <w:fldChar w:fldCharType="begin"/>
        </w:r>
        <w:r w:rsidR="00EA2158">
          <w:instrText xml:space="preserve"> PAGE   \* MERGEFORMAT </w:instrText>
        </w:r>
        <w:r w:rsidR="00EA2158">
          <w:fldChar w:fldCharType="separate"/>
        </w:r>
        <w:r w:rsidR="005D689D">
          <w:rPr>
            <w:noProof/>
          </w:rPr>
          <w:t>2</w:t>
        </w:r>
        <w:r w:rsidR="00EA2158">
          <w:rPr>
            <w:noProof/>
          </w:rPr>
          <w:fldChar w:fldCharType="end"/>
        </w:r>
        <w:r w:rsidR="0026096A">
          <w:rPr>
            <w:noProof/>
          </w:rPr>
          <w:tab/>
        </w:r>
        <w:r w:rsidR="0026096A">
          <w:rPr>
            <w:noProof/>
          </w:rPr>
          <w:tab/>
        </w:r>
        <w:r w:rsidR="009B7FF1">
          <w:rPr>
            <w:noProof/>
          </w:rPr>
          <w:t>Dose Administration Aid service:</w:t>
        </w:r>
        <w:r w:rsidR="009B7FF1">
          <w:rPr>
            <w:noProof/>
          </w:rPr>
          <w:br/>
          <w:t xml:space="preserve">At a glance for </w:t>
        </w:r>
        <w:r w:rsidR="005A4383">
          <w:rPr>
            <w:noProof/>
          </w:rPr>
          <w:t>pharmacists</w:t>
        </w:r>
      </w:p>
    </w:sdtContent>
  </w:sdt>
  <w:p w14:paraId="282E076C" w14:textId="77777777" w:rsidR="000E52CB" w:rsidRPr="00AB3299" w:rsidRDefault="0026096A" w:rsidP="0026096A">
    <w:pPr>
      <w:pStyle w:val="Footer"/>
      <w:tabs>
        <w:tab w:val="clear" w:pos="4513"/>
        <w:tab w:val="clear" w:pos="9026"/>
        <w:tab w:val="clear" w:pos="9639"/>
        <w:tab w:val="left" w:pos="2505"/>
      </w:tabs>
      <w:rPr>
        <w:b w:val="0"/>
      </w:rPr>
    </w:pPr>
    <w:r>
      <w:rPr>
        <w:b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BED87" w14:textId="77777777" w:rsidR="005D689D" w:rsidRDefault="005D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24EBC" w14:textId="77777777" w:rsidR="00FB43DE" w:rsidRDefault="00FB43DE" w:rsidP="005F5C2D">
      <w:r>
        <w:separator/>
      </w:r>
    </w:p>
  </w:footnote>
  <w:footnote w:type="continuationSeparator" w:id="0">
    <w:p w14:paraId="4A03BB9C" w14:textId="77777777" w:rsidR="00FB43DE" w:rsidRDefault="00FB43DE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27A94" w14:textId="77777777" w:rsidR="005D689D" w:rsidRDefault="005D6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1FD94" w14:textId="77777777" w:rsidR="006B22FC" w:rsidRDefault="006B22FC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695827" wp14:editId="6567B971">
              <wp:simplePos x="0" y="0"/>
              <wp:positionH relativeFrom="column">
                <wp:posOffset>-1078853</wp:posOffset>
              </wp:positionH>
              <wp:positionV relativeFrom="paragraph">
                <wp:posOffset>879475</wp:posOffset>
              </wp:positionV>
              <wp:extent cx="7543800" cy="0"/>
              <wp:effectExtent l="0" t="12700" r="12700" b="127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247039" id="Straight Connector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95pt,69.25pt" to="509.0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" strokecolor="#bfbfbf [2412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68B7C" w14:textId="77777777" w:rsidR="005469B7" w:rsidRDefault="005469B7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1B5A114D" wp14:editId="6956868B">
          <wp:simplePos x="0" y="0"/>
          <wp:positionH relativeFrom="page">
            <wp:posOffset>6819</wp:posOffset>
          </wp:positionH>
          <wp:positionV relativeFrom="paragraph">
            <wp:posOffset>-377825</wp:posOffset>
          </wp:positionV>
          <wp:extent cx="7556167" cy="10692000"/>
          <wp:effectExtent l="0" t="0" r="698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A4 Portra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16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774B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620B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5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A75704"/>
    <w:multiLevelType w:val="hybridMultilevel"/>
    <w:tmpl w:val="DD36005E"/>
    <w:lvl w:ilvl="0" w:tplc="64DE0C40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73ACC"/>
    <w:multiLevelType w:val="multilevel"/>
    <w:tmpl w:val="FFDE7AF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0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1" w15:restartNumberingAfterBreak="0">
    <w:nsid w:val="1B012826"/>
    <w:multiLevelType w:val="hybridMultilevel"/>
    <w:tmpl w:val="87E49C46"/>
    <w:lvl w:ilvl="0" w:tplc="5970A892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B0008"/>
    <w:multiLevelType w:val="hybridMultilevel"/>
    <w:tmpl w:val="1B281AF2"/>
    <w:lvl w:ilvl="0" w:tplc="F05A6F30">
      <w:start w:val="1"/>
      <w:numFmt w:val="bullet"/>
      <w:pStyle w:val="ListBullet2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3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28C12EF6"/>
    <w:multiLevelType w:val="hybridMultilevel"/>
    <w:tmpl w:val="2734796A"/>
    <w:lvl w:ilvl="0" w:tplc="4FA04554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5233BB4"/>
    <w:multiLevelType w:val="hybridMultilevel"/>
    <w:tmpl w:val="83945AAC"/>
    <w:lvl w:ilvl="0" w:tplc="58761456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8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3A7331F"/>
    <w:multiLevelType w:val="multilevel"/>
    <w:tmpl w:val="27067C16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2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4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7" w15:restartNumberingAfterBreak="0">
    <w:nsid w:val="61C05CE2"/>
    <w:multiLevelType w:val="hybridMultilevel"/>
    <w:tmpl w:val="025272CC"/>
    <w:lvl w:ilvl="0" w:tplc="64DE0C4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94B0C"/>
    <w:multiLevelType w:val="hybridMultilevel"/>
    <w:tmpl w:val="7ED06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0" w15:restartNumberingAfterBreak="0">
    <w:nsid w:val="6C165230"/>
    <w:multiLevelType w:val="hybridMultilevel"/>
    <w:tmpl w:val="16DEA1AA"/>
    <w:lvl w:ilvl="0" w:tplc="0108F8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2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39706E"/>
    <w:multiLevelType w:val="multilevel"/>
    <w:tmpl w:val="11C64328"/>
    <w:numStyleLink w:val="ListParagraph"/>
  </w:abstractNum>
  <w:abstractNum w:abstractNumId="34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3"/>
  </w:num>
  <w:num w:numId="4">
    <w:abstractNumId w:val="1"/>
  </w:num>
  <w:num w:numId="5">
    <w:abstractNumId w:val="22"/>
  </w:num>
  <w:num w:numId="6">
    <w:abstractNumId w:val="25"/>
  </w:num>
  <w:num w:numId="7">
    <w:abstractNumId w:val="21"/>
  </w:num>
  <w:num w:numId="8">
    <w:abstractNumId w:val="3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0"/>
  </w:num>
  <w:num w:numId="15">
    <w:abstractNumId w:val="15"/>
  </w:num>
  <w:num w:numId="16">
    <w:abstractNumId w:val="7"/>
  </w:num>
  <w:num w:numId="17">
    <w:abstractNumId w:val="20"/>
  </w:num>
  <w:num w:numId="18">
    <w:abstractNumId w:val="34"/>
  </w:num>
  <w:num w:numId="19">
    <w:abstractNumId w:val="18"/>
  </w:num>
  <w:num w:numId="20">
    <w:abstractNumId w:val="12"/>
  </w:num>
  <w:num w:numId="21">
    <w:abstractNumId w:val="17"/>
  </w:num>
  <w:num w:numId="22">
    <w:abstractNumId w:val="19"/>
  </w:num>
  <w:num w:numId="23">
    <w:abstractNumId w:val="5"/>
  </w:num>
  <w:num w:numId="24">
    <w:abstractNumId w:val="16"/>
  </w:num>
  <w:num w:numId="25">
    <w:abstractNumId w:val="29"/>
  </w:num>
  <w:num w:numId="26">
    <w:abstractNumId w:val="9"/>
  </w:num>
  <w:num w:numId="27">
    <w:abstractNumId w:val="10"/>
  </w:num>
  <w:num w:numId="28">
    <w:abstractNumId w:val="23"/>
  </w:num>
  <w:num w:numId="29">
    <w:abstractNumId w:val="26"/>
  </w:num>
  <w:num w:numId="30">
    <w:abstractNumId w:val="24"/>
  </w:num>
  <w:num w:numId="31">
    <w:abstractNumId w:val="2"/>
  </w:num>
  <w:num w:numId="32">
    <w:abstractNumId w:val="2"/>
    <w:lvlOverride w:ilvl="0">
      <w:startOverride w:val="1"/>
    </w:lvlOverride>
  </w:num>
  <w:num w:numId="33">
    <w:abstractNumId w:val="3"/>
  </w:num>
  <w:num w:numId="34">
    <w:abstractNumId w:val="11"/>
  </w:num>
  <w:num w:numId="35">
    <w:abstractNumId w:val="6"/>
  </w:num>
  <w:num w:numId="36">
    <w:abstractNumId w:val="28"/>
  </w:num>
  <w:num w:numId="37">
    <w:abstractNumId w:val="30"/>
  </w:num>
  <w:num w:numId="38">
    <w:abstractNumId w:val="27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7"/>
    <w:rsid w:val="00000B26"/>
    <w:rsid w:val="000157B7"/>
    <w:rsid w:val="00015947"/>
    <w:rsid w:val="000256D5"/>
    <w:rsid w:val="00030776"/>
    <w:rsid w:val="00034265"/>
    <w:rsid w:val="0005221B"/>
    <w:rsid w:val="00066F0E"/>
    <w:rsid w:val="00072D61"/>
    <w:rsid w:val="00073F92"/>
    <w:rsid w:val="000740FE"/>
    <w:rsid w:val="000741B3"/>
    <w:rsid w:val="000865FE"/>
    <w:rsid w:val="00092BF6"/>
    <w:rsid w:val="000A5DC0"/>
    <w:rsid w:val="000A7E99"/>
    <w:rsid w:val="000B2C8F"/>
    <w:rsid w:val="000B4532"/>
    <w:rsid w:val="000B57BD"/>
    <w:rsid w:val="000C19C8"/>
    <w:rsid w:val="000C5F39"/>
    <w:rsid w:val="000D339E"/>
    <w:rsid w:val="000D3B82"/>
    <w:rsid w:val="000D4CD9"/>
    <w:rsid w:val="000E120C"/>
    <w:rsid w:val="000E52CB"/>
    <w:rsid w:val="000E7916"/>
    <w:rsid w:val="00106EB3"/>
    <w:rsid w:val="001202CD"/>
    <w:rsid w:val="00121542"/>
    <w:rsid w:val="00126FDB"/>
    <w:rsid w:val="001315CF"/>
    <w:rsid w:val="001406A0"/>
    <w:rsid w:val="001421D3"/>
    <w:rsid w:val="001437BE"/>
    <w:rsid w:val="00150538"/>
    <w:rsid w:val="00152F3E"/>
    <w:rsid w:val="001538CD"/>
    <w:rsid w:val="001709E3"/>
    <w:rsid w:val="00173384"/>
    <w:rsid w:val="00175875"/>
    <w:rsid w:val="00184DC8"/>
    <w:rsid w:val="00193CD2"/>
    <w:rsid w:val="001A16ED"/>
    <w:rsid w:val="001A4057"/>
    <w:rsid w:val="001B1434"/>
    <w:rsid w:val="001C2A02"/>
    <w:rsid w:val="001C2ADE"/>
    <w:rsid w:val="001D21CA"/>
    <w:rsid w:val="001D482F"/>
    <w:rsid w:val="001D77BE"/>
    <w:rsid w:val="001F4035"/>
    <w:rsid w:val="001F5A0B"/>
    <w:rsid w:val="00204EFA"/>
    <w:rsid w:val="002151CC"/>
    <w:rsid w:val="00217142"/>
    <w:rsid w:val="002226EA"/>
    <w:rsid w:val="002235BF"/>
    <w:rsid w:val="00223C57"/>
    <w:rsid w:val="00231416"/>
    <w:rsid w:val="002436FA"/>
    <w:rsid w:val="00251CAA"/>
    <w:rsid w:val="00251FDE"/>
    <w:rsid w:val="0026096A"/>
    <w:rsid w:val="0026233E"/>
    <w:rsid w:val="00267453"/>
    <w:rsid w:val="002674A3"/>
    <w:rsid w:val="002743D6"/>
    <w:rsid w:val="00296465"/>
    <w:rsid w:val="00296C02"/>
    <w:rsid w:val="002A7D76"/>
    <w:rsid w:val="002B55E9"/>
    <w:rsid w:val="002E67C7"/>
    <w:rsid w:val="003002AE"/>
    <w:rsid w:val="003054CE"/>
    <w:rsid w:val="00311C29"/>
    <w:rsid w:val="0032514B"/>
    <w:rsid w:val="003303F0"/>
    <w:rsid w:val="003409BF"/>
    <w:rsid w:val="00341593"/>
    <w:rsid w:val="00346C2F"/>
    <w:rsid w:val="0037092F"/>
    <w:rsid w:val="0037097D"/>
    <w:rsid w:val="003755B4"/>
    <w:rsid w:val="003A0704"/>
    <w:rsid w:val="003A3013"/>
    <w:rsid w:val="003C0B62"/>
    <w:rsid w:val="003C7923"/>
    <w:rsid w:val="003D5A23"/>
    <w:rsid w:val="003D6F49"/>
    <w:rsid w:val="003E1B70"/>
    <w:rsid w:val="003E1C0C"/>
    <w:rsid w:val="003E569A"/>
    <w:rsid w:val="00403553"/>
    <w:rsid w:val="00405E6B"/>
    <w:rsid w:val="00414E74"/>
    <w:rsid w:val="00416CB7"/>
    <w:rsid w:val="00417ADC"/>
    <w:rsid w:val="00427E80"/>
    <w:rsid w:val="00432A81"/>
    <w:rsid w:val="0044387F"/>
    <w:rsid w:val="004524A4"/>
    <w:rsid w:val="004605B0"/>
    <w:rsid w:val="004633AE"/>
    <w:rsid w:val="00470200"/>
    <w:rsid w:val="00470910"/>
    <w:rsid w:val="0047138D"/>
    <w:rsid w:val="00475538"/>
    <w:rsid w:val="00476F93"/>
    <w:rsid w:val="00477BE4"/>
    <w:rsid w:val="00482A76"/>
    <w:rsid w:val="0048466A"/>
    <w:rsid w:val="004A0711"/>
    <w:rsid w:val="004B5CB1"/>
    <w:rsid w:val="004C1645"/>
    <w:rsid w:val="004C3B06"/>
    <w:rsid w:val="004C6C6C"/>
    <w:rsid w:val="004E3132"/>
    <w:rsid w:val="004F58AD"/>
    <w:rsid w:val="004F7275"/>
    <w:rsid w:val="00513870"/>
    <w:rsid w:val="00525069"/>
    <w:rsid w:val="00525565"/>
    <w:rsid w:val="0053255F"/>
    <w:rsid w:val="0053452D"/>
    <w:rsid w:val="00540DD8"/>
    <w:rsid w:val="00541388"/>
    <w:rsid w:val="005469B7"/>
    <w:rsid w:val="005565B7"/>
    <w:rsid w:val="0056544B"/>
    <w:rsid w:val="00567242"/>
    <w:rsid w:val="0057335C"/>
    <w:rsid w:val="0057641D"/>
    <w:rsid w:val="00580482"/>
    <w:rsid w:val="005810A7"/>
    <w:rsid w:val="00582952"/>
    <w:rsid w:val="005834CB"/>
    <w:rsid w:val="00587807"/>
    <w:rsid w:val="005A4383"/>
    <w:rsid w:val="005D1E1B"/>
    <w:rsid w:val="005D689D"/>
    <w:rsid w:val="005E4ECB"/>
    <w:rsid w:val="005F42C2"/>
    <w:rsid w:val="005F5C2D"/>
    <w:rsid w:val="005F7077"/>
    <w:rsid w:val="00610117"/>
    <w:rsid w:val="00616C1C"/>
    <w:rsid w:val="0062393C"/>
    <w:rsid w:val="0062571B"/>
    <w:rsid w:val="00641675"/>
    <w:rsid w:val="00644AA5"/>
    <w:rsid w:val="00652B91"/>
    <w:rsid w:val="00654C5F"/>
    <w:rsid w:val="00662A97"/>
    <w:rsid w:val="00662C3E"/>
    <w:rsid w:val="00694C03"/>
    <w:rsid w:val="00694F94"/>
    <w:rsid w:val="006B22FC"/>
    <w:rsid w:val="006C0F1F"/>
    <w:rsid w:val="006C168C"/>
    <w:rsid w:val="006C5EA9"/>
    <w:rsid w:val="006C7234"/>
    <w:rsid w:val="006D21AE"/>
    <w:rsid w:val="006D7593"/>
    <w:rsid w:val="006F5D9F"/>
    <w:rsid w:val="006F71EA"/>
    <w:rsid w:val="00721005"/>
    <w:rsid w:val="00722C50"/>
    <w:rsid w:val="00732599"/>
    <w:rsid w:val="00734A7A"/>
    <w:rsid w:val="00734B3C"/>
    <w:rsid w:val="007372A4"/>
    <w:rsid w:val="00740B9B"/>
    <w:rsid w:val="007423AF"/>
    <w:rsid w:val="007471BF"/>
    <w:rsid w:val="0076311B"/>
    <w:rsid w:val="00766206"/>
    <w:rsid w:val="0077217F"/>
    <w:rsid w:val="00786B9C"/>
    <w:rsid w:val="007A1DD8"/>
    <w:rsid w:val="007A2263"/>
    <w:rsid w:val="007C1E7A"/>
    <w:rsid w:val="007C328D"/>
    <w:rsid w:val="007C496F"/>
    <w:rsid w:val="007D3649"/>
    <w:rsid w:val="007D587F"/>
    <w:rsid w:val="007E179A"/>
    <w:rsid w:val="007E41E7"/>
    <w:rsid w:val="007E5DEE"/>
    <w:rsid w:val="007F0A38"/>
    <w:rsid w:val="007F6E34"/>
    <w:rsid w:val="008039B2"/>
    <w:rsid w:val="00822EE7"/>
    <w:rsid w:val="00824E0B"/>
    <w:rsid w:val="00824E3D"/>
    <w:rsid w:val="00825B0B"/>
    <w:rsid w:val="00836343"/>
    <w:rsid w:val="0083731C"/>
    <w:rsid w:val="00843DB8"/>
    <w:rsid w:val="00853A5A"/>
    <w:rsid w:val="0085692B"/>
    <w:rsid w:val="00857F66"/>
    <w:rsid w:val="00864E2E"/>
    <w:rsid w:val="00866FFA"/>
    <w:rsid w:val="00872E85"/>
    <w:rsid w:val="00875264"/>
    <w:rsid w:val="008868C9"/>
    <w:rsid w:val="008A3FE6"/>
    <w:rsid w:val="008A5E0F"/>
    <w:rsid w:val="008B0960"/>
    <w:rsid w:val="008B7D1E"/>
    <w:rsid w:val="008C0101"/>
    <w:rsid w:val="008C0470"/>
    <w:rsid w:val="008C2E8C"/>
    <w:rsid w:val="008C33F9"/>
    <w:rsid w:val="008D2EE8"/>
    <w:rsid w:val="008D3D62"/>
    <w:rsid w:val="008D48AB"/>
    <w:rsid w:val="008E050D"/>
    <w:rsid w:val="008E61B4"/>
    <w:rsid w:val="009137C8"/>
    <w:rsid w:val="00913D38"/>
    <w:rsid w:val="00915818"/>
    <w:rsid w:val="00951508"/>
    <w:rsid w:val="00963012"/>
    <w:rsid w:val="009633AA"/>
    <w:rsid w:val="0096410F"/>
    <w:rsid w:val="00967589"/>
    <w:rsid w:val="00977E49"/>
    <w:rsid w:val="0098317E"/>
    <w:rsid w:val="00983D9D"/>
    <w:rsid w:val="00994046"/>
    <w:rsid w:val="009A7936"/>
    <w:rsid w:val="009B14C8"/>
    <w:rsid w:val="009B43F8"/>
    <w:rsid w:val="009B644E"/>
    <w:rsid w:val="009B6F70"/>
    <w:rsid w:val="009B7FF1"/>
    <w:rsid w:val="009D1C97"/>
    <w:rsid w:val="009D2DD4"/>
    <w:rsid w:val="009D3BE6"/>
    <w:rsid w:val="009D4B66"/>
    <w:rsid w:val="009E274F"/>
    <w:rsid w:val="009E72AE"/>
    <w:rsid w:val="009F1F6F"/>
    <w:rsid w:val="00A00DC5"/>
    <w:rsid w:val="00A1355F"/>
    <w:rsid w:val="00A20B9A"/>
    <w:rsid w:val="00A22BA4"/>
    <w:rsid w:val="00A42CF7"/>
    <w:rsid w:val="00A53B86"/>
    <w:rsid w:val="00A550AC"/>
    <w:rsid w:val="00A63407"/>
    <w:rsid w:val="00A651E7"/>
    <w:rsid w:val="00A65EF2"/>
    <w:rsid w:val="00A73C27"/>
    <w:rsid w:val="00A848A0"/>
    <w:rsid w:val="00A86006"/>
    <w:rsid w:val="00AA0FC2"/>
    <w:rsid w:val="00AA5BA1"/>
    <w:rsid w:val="00AA6110"/>
    <w:rsid w:val="00AB02FB"/>
    <w:rsid w:val="00AB1D8F"/>
    <w:rsid w:val="00AB3299"/>
    <w:rsid w:val="00AB524E"/>
    <w:rsid w:val="00AB53A8"/>
    <w:rsid w:val="00AC165B"/>
    <w:rsid w:val="00B04249"/>
    <w:rsid w:val="00B0489E"/>
    <w:rsid w:val="00B07BF2"/>
    <w:rsid w:val="00B1189A"/>
    <w:rsid w:val="00B1583D"/>
    <w:rsid w:val="00B31E43"/>
    <w:rsid w:val="00B33600"/>
    <w:rsid w:val="00B51D78"/>
    <w:rsid w:val="00B56BB5"/>
    <w:rsid w:val="00B65C2A"/>
    <w:rsid w:val="00B7105F"/>
    <w:rsid w:val="00B7306D"/>
    <w:rsid w:val="00B77CA0"/>
    <w:rsid w:val="00B80017"/>
    <w:rsid w:val="00B8025D"/>
    <w:rsid w:val="00B903A6"/>
    <w:rsid w:val="00B907DE"/>
    <w:rsid w:val="00B90C98"/>
    <w:rsid w:val="00BA3398"/>
    <w:rsid w:val="00BB0A78"/>
    <w:rsid w:val="00BB2784"/>
    <w:rsid w:val="00BC4AFE"/>
    <w:rsid w:val="00BC4CD2"/>
    <w:rsid w:val="00BD2EFC"/>
    <w:rsid w:val="00BD5343"/>
    <w:rsid w:val="00BF2A42"/>
    <w:rsid w:val="00C14A2F"/>
    <w:rsid w:val="00C276B1"/>
    <w:rsid w:val="00C34E06"/>
    <w:rsid w:val="00C40413"/>
    <w:rsid w:val="00C47B4D"/>
    <w:rsid w:val="00C502AC"/>
    <w:rsid w:val="00C71882"/>
    <w:rsid w:val="00C77873"/>
    <w:rsid w:val="00C828F8"/>
    <w:rsid w:val="00C839BF"/>
    <w:rsid w:val="00C92391"/>
    <w:rsid w:val="00C9286C"/>
    <w:rsid w:val="00C97F30"/>
    <w:rsid w:val="00CA0D71"/>
    <w:rsid w:val="00CA2155"/>
    <w:rsid w:val="00CA7116"/>
    <w:rsid w:val="00CD4930"/>
    <w:rsid w:val="00CD69EC"/>
    <w:rsid w:val="00CD7EC2"/>
    <w:rsid w:val="00CE1933"/>
    <w:rsid w:val="00CF080E"/>
    <w:rsid w:val="00CF2EC7"/>
    <w:rsid w:val="00CF355E"/>
    <w:rsid w:val="00CF41EE"/>
    <w:rsid w:val="00CF7A7B"/>
    <w:rsid w:val="00CF7C67"/>
    <w:rsid w:val="00D01985"/>
    <w:rsid w:val="00D060F2"/>
    <w:rsid w:val="00D10780"/>
    <w:rsid w:val="00D13CC1"/>
    <w:rsid w:val="00D168C3"/>
    <w:rsid w:val="00D21E28"/>
    <w:rsid w:val="00D248C3"/>
    <w:rsid w:val="00D306DF"/>
    <w:rsid w:val="00D46DA4"/>
    <w:rsid w:val="00D47077"/>
    <w:rsid w:val="00D55699"/>
    <w:rsid w:val="00D645E6"/>
    <w:rsid w:val="00D717FE"/>
    <w:rsid w:val="00D74FE6"/>
    <w:rsid w:val="00D829BF"/>
    <w:rsid w:val="00D904AC"/>
    <w:rsid w:val="00D94EE1"/>
    <w:rsid w:val="00DA2457"/>
    <w:rsid w:val="00DA5B92"/>
    <w:rsid w:val="00DB0605"/>
    <w:rsid w:val="00DC5B5F"/>
    <w:rsid w:val="00DC7A8F"/>
    <w:rsid w:val="00DD3C9C"/>
    <w:rsid w:val="00DE52AF"/>
    <w:rsid w:val="00DF07F7"/>
    <w:rsid w:val="00DF5550"/>
    <w:rsid w:val="00DF5EED"/>
    <w:rsid w:val="00E0023C"/>
    <w:rsid w:val="00E00F44"/>
    <w:rsid w:val="00E1045D"/>
    <w:rsid w:val="00E21EAE"/>
    <w:rsid w:val="00E25B58"/>
    <w:rsid w:val="00E27056"/>
    <w:rsid w:val="00E3077A"/>
    <w:rsid w:val="00E51EC2"/>
    <w:rsid w:val="00E57207"/>
    <w:rsid w:val="00E61728"/>
    <w:rsid w:val="00E6317D"/>
    <w:rsid w:val="00E667BB"/>
    <w:rsid w:val="00E7021A"/>
    <w:rsid w:val="00E81893"/>
    <w:rsid w:val="00E91C15"/>
    <w:rsid w:val="00EA0365"/>
    <w:rsid w:val="00EA060F"/>
    <w:rsid w:val="00EA2158"/>
    <w:rsid w:val="00EA418B"/>
    <w:rsid w:val="00EA7144"/>
    <w:rsid w:val="00ED76D6"/>
    <w:rsid w:val="00EE6449"/>
    <w:rsid w:val="00F124C6"/>
    <w:rsid w:val="00F14929"/>
    <w:rsid w:val="00F34AC0"/>
    <w:rsid w:val="00F36E6C"/>
    <w:rsid w:val="00F4201F"/>
    <w:rsid w:val="00F443CC"/>
    <w:rsid w:val="00F446F8"/>
    <w:rsid w:val="00F45858"/>
    <w:rsid w:val="00F65949"/>
    <w:rsid w:val="00F70F0C"/>
    <w:rsid w:val="00F7456E"/>
    <w:rsid w:val="00F77E5A"/>
    <w:rsid w:val="00FA38C4"/>
    <w:rsid w:val="00FA438F"/>
    <w:rsid w:val="00FA5FBA"/>
    <w:rsid w:val="00FB1136"/>
    <w:rsid w:val="00FB4391"/>
    <w:rsid w:val="00FB43DE"/>
    <w:rsid w:val="00FB4400"/>
    <w:rsid w:val="00FB4F79"/>
    <w:rsid w:val="00FD2AD3"/>
    <w:rsid w:val="00FE017F"/>
    <w:rsid w:val="00FE3A2A"/>
    <w:rsid w:val="00FE481D"/>
    <w:rsid w:val="00FE5013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6445C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092F"/>
  </w:style>
  <w:style w:type="paragraph" w:styleId="Heading1">
    <w:name w:val="heading 1"/>
    <w:next w:val="Normal"/>
    <w:link w:val="Heading1Char"/>
    <w:uiPriority w:val="9"/>
    <w:qFormat/>
    <w:rsid w:val="00E25B58"/>
    <w:pPr>
      <w:keepNext/>
      <w:spacing w:before="284" w:after="113" w:line="560" w:lineRule="exact"/>
      <w:outlineLvl w:val="0"/>
    </w:pPr>
    <w:rPr>
      <w:rFonts w:ascii="Rockwell" w:hAnsi="Rockwell"/>
      <w:b/>
      <w:color w:val="2F8189"/>
      <w:sz w:val="40"/>
      <w:szCs w:val="22"/>
    </w:rPr>
  </w:style>
  <w:style w:type="paragraph" w:styleId="Heading2">
    <w:name w:val="heading 2"/>
    <w:basedOn w:val="Heading1"/>
    <w:next w:val="Body"/>
    <w:link w:val="Heading2Char"/>
    <w:uiPriority w:val="9"/>
    <w:unhideWhenUsed/>
    <w:qFormat/>
    <w:rsid w:val="00F77E5A"/>
    <w:pPr>
      <w:keepLines/>
      <w:spacing w:before="360" w:after="120"/>
      <w:outlineLvl w:val="1"/>
    </w:pPr>
    <w:rPr>
      <w:rFonts w:eastAsiaTheme="majorEastAsia" w:cstheme="majorBidi"/>
      <w:b w:val="0"/>
      <w:color w:val="223C72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D71"/>
    <w:pPr>
      <w:spacing w:line="420" w:lineRule="exact"/>
      <w:outlineLvl w:val="2"/>
    </w:pPr>
    <w:rPr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CA0D71"/>
    <w:pPr>
      <w:spacing w:line="320" w:lineRule="exact"/>
      <w:outlineLvl w:val="3"/>
    </w:pPr>
    <w:rPr>
      <w:rFonts w:asciiTheme="minorHAnsi" w:hAnsiTheme="minorHAnsi"/>
      <w:b/>
      <w:iCs/>
      <w:color w:val="2D416E" w:themeColor="accent1" w:themeShade="BF"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Body"/>
    <w:link w:val="FooterChar"/>
    <w:uiPriority w:val="99"/>
    <w:unhideWhenUsed/>
    <w:rsid w:val="0026096A"/>
    <w:pPr>
      <w:tabs>
        <w:tab w:val="center" w:pos="4513"/>
        <w:tab w:val="right" w:pos="9026"/>
        <w:tab w:val="right" w:pos="9639"/>
      </w:tabs>
      <w:spacing w:after="0" w:line="240" w:lineRule="auto"/>
    </w:pPr>
    <w:rPr>
      <w:rFonts w:ascii="Rockwell" w:hAnsi="Rockwell"/>
      <w:b/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096A"/>
    <w:rPr>
      <w:rFonts w:ascii="Rockwell" w:hAnsi="Rockwell"/>
      <w:b/>
      <w:color w:val="FFFFFF" w:themeColor="background1"/>
      <w:sz w:val="18"/>
    </w:rPr>
  </w:style>
  <w:style w:type="paragraph" w:styleId="Title">
    <w:name w:val="Title"/>
    <w:next w:val="Normal"/>
    <w:link w:val="TitleChar"/>
    <w:uiPriority w:val="10"/>
    <w:qFormat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qFormat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25B58"/>
    <w:rPr>
      <w:rFonts w:ascii="Rockwell" w:hAnsi="Rockwell"/>
      <w:b/>
      <w:color w:val="2F8189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77E5A"/>
    <w:rPr>
      <w:rFonts w:ascii="Rockwell" w:eastAsiaTheme="majorEastAsia" w:hAnsi="Rockwell" w:cstheme="majorBidi"/>
      <w:color w:val="223C72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qFormat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qFormat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0D7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A0D71"/>
    <w:rPr>
      <w:rFonts w:asciiTheme="minorHAnsi" w:eastAsiaTheme="majorEastAsia" w:hAnsiTheme="minorHAnsi" w:cstheme="majorBidi"/>
      <w:b/>
      <w:iCs/>
      <w:color w:val="2D416E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qFormat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qFormat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B3299"/>
    <w:rPr>
      <w:i/>
      <w:iCs/>
    </w:rPr>
  </w:style>
  <w:style w:type="table" w:styleId="TableGrid">
    <w:name w:val="Table Grid"/>
    <w:basedOn w:val="TableNormal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qFormat/>
    <w:rsid w:val="00BF2A42"/>
    <w:pPr>
      <w:numPr>
        <w:numId w:val="2"/>
      </w:numPr>
      <w:spacing w:after="120" w:line="264" w:lineRule="auto"/>
    </w:pPr>
    <w:rPr>
      <w:rFonts w:eastAsia="Times New Roman" w:cs="Times New Roman"/>
      <w:lang w:val="en-AU"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F34AC0"/>
    <w:pPr>
      <w:numPr>
        <w:numId w:val="21"/>
      </w:numPr>
      <w:spacing w:line="280" w:lineRule="exact"/>
      <w:ind w:left="851" w:hanging="284"/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Body"/>
    <w:next w:val="ListBullet2"/>
    <w:uiPriority w:val="99"/>
    <w:qFormat/>
    <w:rsid w:val="000256D5"/>
    <w:pPr>
      <w:numPr>
        <w:numId w:val="16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qFormat/>
    <w:rsid w:val="004A0711"/>
    <w:pPr>
      <w:numPr>
        <w:numId w:val="7"/>
      </w:numPr>
      <w:spacing w:after="120" w:line="280" w:lineRule="exact"/>
    </w:pPr>
    <w:rPr>
      <w:rFonts w:ascii="Calibri" w:eastAsia="Times New Roman" w:hAnsi="Calibri" w:cs="Times New Roman"/>
      <w:sz w:val="22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qFormat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qFormat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qFormat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3"/>
    <w:qFormat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qFormat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color w:val="000000" w:themeColor="text1"/>
      <w:szCs w:val="28"/>
      <w:lang w:val="en-AU"/>
    </w:rPr>
  </w:style>
  <w:style w:type="paragraph" w:customStyle="1" w:styleId="Heading3numbered">
    <w:name w:val="Heading 3 (numbered)"/>
    <w:basedOn w:val="Heading3"/>
    <w:next w:val="Body"/>
    <w:uiPriority w:val="3"/>
    <w:qFormat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qFormat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qFormat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Body"/>
    <w:rsid w:val="002235BF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qFormat/>
    <w:rsid w:val="00D168C3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FFFFFF" w:themeColor="background1"/>
      <w:sz w:val="40"/>
      <w:szCs w:val="40"/>
      <w:lang w:val="en-AU"/>
    </w:rPr>
  </w:style>
  <w:style w:type="paragraph" w:customStyle="1" w:styleId="Body">
    <w:name w:val="Body"/>
    <w:qFormat/>
    <w:rsid w:val="005F7077"/>
    <w:pPr>
      <w:spacing w:after="240" w:line="300" w:lineRule="exact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b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D168C3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168C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CommentReference">
    <w:name w:val="annotation reference"/>
    <w:basedOn w:val="DefaultParagraphFont"/>
    <w:rsid w:val="00D645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5E6"/>
    <w:pPr>
      <w:spacing w:before="120" w:after="120" w:line="240" w:lineRule="auto"/>
    </w:pPr>
    <w:rPr>
      <w:rFonts w:ascii="Arial" w:eastAsia="Times New Roman" w:hAnsi="Arial" w:cs="Times New Roman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rsid w:val="00D645E6"/>
    <w:rPr>
      <w:rFonts w:ascii="Arial" w:eastAsia="Times New Roman" w:hAnsi="Arial" w:cs="Times New Roman"/>
      <w:lang w:val="en-AU" w:eastAsia="en-AU"/>
    </w:rPr>
  </w:style>
  <w:style w:type="table" w:styleId="PlainTable4">
    <w:name w:val="Plain Table 4"/>
    <w:basedOn w:val="TableNormal"/>
    <w:uiPriority w:val="44"/>
    <w:rsid w:val="00AA5B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-Accent2">
    <w:name w:val="List Table 1 Light Accent 2"/>
    <w:basedOn w:val="TableNormal"/>
    <w:uiPriority w:val="46"/>
    <w:rsid w:val="00AA5B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D6D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D6D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3" w:themeFill="accent2" w:themeFillTint="33"/>
      </w:tcPr>
    </w:tblStylePr>
    <w:tblStylePr w:type="band1Horz">
      <w:tblPr/>
      <w:tcPr>
        <w:shd w:val="clear" w:color="auto" w:fill="DBF1F3" w:themeFill="accent2" w:themeFillTint="33"/>
      </w:tcPr>
    </w:tblStylePr>
  </w:style>
  <w:style w:type="table" w:styleId="GridTable1Light-Accent3">
    <w:name w:val="Grid Table 1 Light Accent 3"/>
    <w:basedOn w:val="TableNormal"/>
    <w:uiPriority w:val="46"/>
    <w:rsid w:val="00AA5BA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605"/>
    <w:pPr>
      <w:spacing w:before="0" w:after="160"/>
    </w:pPr>
    <w:rPr>
      <w:rFonts w:ascii="Georgia" w:eastAsiaTheme="minorHAnsi" w:hAnsi="Georgia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605"/>
    <w:rPr>
      <w:rFonts w:ascii="Arial" w:eastAsia="Times New Roman" w:hAnsi="Arial" w:cs="Times New Roman"/>
      <w:b/>
      <w:bCs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a.gov.au/about-us/dva-forms/dose-administration-aid-daa-service-vsm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9.health.gov.au/mb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paonline.com.a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PO@dva.gov.a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A7A5DB81-F015-4A46-A429-DC18C72E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2023-05-03T06:01:00Z</dcterms:created>
  <dcterms:modified xsi:type="dcterms:W3CDTF">2023-05-03T06:01:00Z</dcterms:modified>
</cp:coreProperties>
</file>