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C664" w14:textId="77777777" w:rsidR="006A76FF" w:rsidRPr="00AC7600" w:rsidRDefault="006A76FF" w:rsidP="008622F9">
      <w:pPr>
        <w:pStyle w:val="Subtitle"/>
        <w:tabs>
          <w:tab w:val="left" w:pos="9356"/>
        </w:tabs>
        <w:spacing w:after="0"/>
        <w:ind w:right="476"/>
        <w:jc w:val="both"/>
        <w:rPr>
          <w:rFonts w:ascii="Arial" w:hAnsi="Arial" w:cstheme="minorHAnsi"/>
          <w:caps w:val="0"/>
          <w:color w:val="0F6FC6" w:themeColor="accent1"/>
          <w:sz w:val="22"/>
          <w:szCs w:val="22"/>
          <w:lang w:val="en-AU"/>
        </w:rPr>
      </w:pPr>
    </w:p>
    <w:p w14:paraId="49F5BFD2" w14:textId="77777777" w:rsidR="009027C6" w:rsidRPr="00AC7600" w:rsidRDefault="009027C6" w:rsidP="008622F9">
      <w:pPr>
        <w:pStyle w:val="Subtitle"/>
        <w:tabs>
          <w:tab w:val="left" w:pos="9356"/>
        </w:tabs>
        <w:spacing w:after="0"/>
        <w:ind w:left="426" w:right="476"/>
        <w:jc w:val="both"/>
        <w:rPr>
          <w:rFonts w:ascii="Arial" w:hAnsi="Arial" w:cstheme="minorHAnsi"/>
          <w:caps w:val="0"/>
          <w:color w:val="0F6FC6" w:themeColor="accent1"/>
          <w:sz w:val="22"/>
          <w:szCs w:val="22"/>
          <w:lang w:val="en-AU"/>
        </w:rPr>
      </w:pPr>
      <w:r w:rsidRPr="00AC7600">
        <w:rPr>
          <w:rFonts w:ascii="Arial" w:hAnsi="Arial" w:cstheme="minorHAnsi"/>
          <w:caps w:val="0"/>
          <w:noProof/>
          <w:color w:val="0F6FC6" w:themeColor="accent1"/>
          <w:sz w:val="22"/>
          <w:szCs w:val="22"/>
          <w:lang w:val="en-AU" w:eastAsia="en-AU"/>
        </w:rPr>
        <mc:AlternateContent>
          <mc:Choice Requires="wps">
            <w:drawing>
              <wp:anchor distT="91440" distB="91440" distL="114300" distR="114300" simplePos="0" relativeHeight="251680768" behindDoc="0" locked="0" layoutInCell="1" allowOverlap="1" wp14:anchorId="1D2484C4" wp14:editId="1D0608EE">
                <wp:simplePos x="0" y="0"/>
                <wp:positionH relativeFrom="margin">
                  <wp:align>right</wp:align>
                </wp:positionH>
                <wp:positionV relativeFrom="margin">
                  <wp:posOffset>228600</wp:posOffset>
                </wp:positionV>
                <wp:extent cx="3903980" cy="962660"/>
                <wp:effectExtent l="0" t="0" r="1270" b="8890"/>
                <wp:wrapSquare wrapText="bothSides"/>
                <wp:docPr id="1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924F2" w14:textId="1465CA95" w:rsidR="009027C6" w:rsidRDefault="009027C6" w:rsidP="009027C6">
                            <w:pPr>
                              <w:pStyle w:val="Quote"/>
                              <w:spacing w:after="0" w:line="240" w:lineRule="auto"/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</w:pPr>
                            <w:r w:rsidRPr="009027C6"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>Community Nursing</w:t>
                            </w:r>
                            <w:r>
                              <w:rPr>
                                <w:rFonts w:ascii="Arial Black" w:eastAsia="HYGothic-Extra" w:hAnsi="Arial Black" w:cs="Tahoma"/>
                                <w:i w:val="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11A26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 xml:space="preserve">BULLETIN No. </w:t>
                            </w:r>
                            <w:r w:rsidR="00B83349">
                              <w:rPr>
                                <w:rFonts w:asciiTheme="majorHAnsi" w:hAnsiTheme="majorHAnsi"/>
                                <w:i w:val="0"/>
                                <w:sz w:val="52"/>
                                <w:szCs w:val="52"/>
                              </w:rPr>
                              <w:t>28</w:t>
                            </w:r>
                            <w:r>
                              <w:rPr>
                                <w:caps/>
                                <w:sz w:val="52"/>
                                <w:szCs w:val="52"/>
                              </w:rPr>
                              <w:t xml:space="preserve">               </w:t>
                            </w:r>
                          </w:p>
                          <w:p w14:paraId="454B4FE0" w14:textId="77777777" w:rsidR="009027C6" w:rsidRPr="009027C6" w:rsidRDefault="009027C6" w:rsidP="009027C6"/>
                          <w:p w14:paraId="754416CB" w14:textId="77777777" w:rsidR="009027C6" w:rsidRPr="009027C6" w:rsidRDefault="009027C6" w:rsidP="009027C6"/>
                        </w:txbxContent>
                      </wps:txbx>
                      <wps:bodyPr rot="0" vert="horz" wrap="square" lIns="0" tIns="45720" rIns="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484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6.2pt;margin-top:18pt;width:307.4pt;height:75.8pt;z-index:251680768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" filled="f" stroked="f">
                <v:textbox inset="0,,0">
                  <w:txbxContent>
                    <w:p w14:paraId="623924F2" w14:textId="1465CA95" w:rsidR="009027C6" w:rsidRDefault="009027C6" w:rsidP="009027C6">
                      <w:pPr>
                        <w:pStyle w:val="Quote"/>
                        <w:spacing w:after="0" w:line="240" w:lineRule="auto"/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</w:pPr>
                      <w:r w:rsidRPr="009027C6"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>Community Nursing</w:t>
                      </w:r>
                      <w:r>
                        <w:rPr>
                          <w:rFonts w:ascii="Arial Black" w:eastAsia="HYGothic-Extra" w:hAnsi="Arial Black" w:cs="Tahoma"/>
                          <w:i w:val="0"/>
                          <w:sz w:val="52"/>
                          <w:szCs w:val="52"/>
                        </w:rPr>
                        <w:t xml:space="preserve"> </w:t>
                      </w:r>
                      <w:r w:rsidR="00D11A26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 xml:space="preserve">BULLETIN No. </w:t>
                      </w:r>
                      <w:r w:rsidR="00B83349">
                        <w:rPr>
                          <w:rFonts w:asciiTheme="majorHAnsi" w:hAnsiTheme="majorHAnsi"/>
                          <w:i w:val="0"/>
                          <w:sz w:val="52"/>
                          <w:szCs w:val="52"/>
                        </w:rPr>
                        <w:t>28</w:t>
                      </w:r>
                      <w:r>
                        <w:rPr>
                          <w:caps/>
                          <w:sz w:val="52"/>
                          <w:szCs w:val="52"/>
                        </w:rPr>
                        <w:t xml:space="preserve">               </w:t>
                      </w:r>
                    </w:p>
                    <w:p w14:paraId="454B4FE0" w14:textId="77777777" w:rsidR="009027C6" w:rsidRPr="009027C6" w:rsidRDefault="009027C6" w:rsidP="009027C6"/>
                    <w:p w14:paraId="754416CB" w14:textId="77777777" w:rsidR="009027C6" w:rsidRPr="009027C6" w:rsidRDefault="009027C6" w:rsidP="009027C6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1366" w:rsidRPr="00AC7600">
        <w:rPr>
          <w:rFonts w:ascii="Arial" w:hAnsi="Arial" w:cstheme="minorHAnsi"/>
          <w:caps w:val="0"/>
          <w:noProof/>
          <w:color w:val="0F6FC6" w:themeColor="accent1"/>
          <w:sz w:val="22"/>
          <w:szCs w:val="22"/>
          <w:lang w:val="en-AU" w:eastAsia="en-AU"/>
        </w:rPr>
        <w:drawing>
          <wp:inline distT="0" distB="0" distL="0" distR="0" wp14:anchorId="0B914F02" wp14:editId="6090AA36">
            <wp:extent cx="2125213" cy="1123950"/>
            <wp:effectExtent l="0" t="0" r="8890" b="0"/>
            <wp:docPr id="1" name="Picture 1" descr="R:\Health_and_Comm_Services\PM-Health_Programs\CN\CN Communications\Logos\P03756 Community Nursing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Health_and_Comm_Services\PM-Health_Programs\CN\CN Communications\Logos\P03756 Community Nursing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626" cy="114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366" w:rsidRPr="00AC7600">
        <w:rPr>
          <w:rFonts w:ascii="Arial" w:hAnsi="Arial" w:cstheme="minorHAnsi"/>
          <w:caps w:val="0"/>
          <w:color w:val="0F6FC6" w:themeColor="accent1"/>
          <w:sz w:val="22"/>
          <w:szCs w:val="22"/>
          <w:lang w:val="en-AU"/>
        </w:rPr>
        <w:t xml:space="preserve">   </w:t>
      </w:r>
    </w:p>
    <w:p w14:paraId="73CCBECA" w14:textId="77777777" w:rsidR="001A462C" w:rsidRPr="00AC7600" w:rsidRDefault="001A462C" w:rsidP="008622F9">
      <w:pPr>
        <w:pStyle w:val="Subtitle"/>
        <w:spacing w:after="0"/>
        <w:ind w:left="426" w:right="476"/>
        <w:jc w:val="both"/>
        <w:rPr>
          <w:rFonts w:ascii="Arial" w:hAnsi="Arial" w:cstheme="minorHAnsi"/>
          <w:caps w:val="0"/>
          <w:color w:val="0F6FC6" w:themeColor="accent1"/>
          <w:sz w:val="22"/>
          <w:szCs w:val="22"/>
          <w:lang w:val="en-AU"/>
        </w:rPr>
      </w:pPr>
    </w:p>
    <w:p w14:paraId="10C053FB" w14:textId="7CEC5125" w:rsidR="00390C1A" w:rsidRPr="00AC7600" w:rsidRDefault="00AC7600" w:rsidP="00B43391">
      <w:pPr>
        <w:pStyle w:val="Subtitle"/>
        <w:spacing w:after="0"/>
        <w:ind w:left="426" w:right="476"/>
        <w:jc w:val="both"/>
        <w:rPr>
          <w:rFonts w:ascii="Arial" w:hAnsi="Arial" w:cstheme="minorHAnsi"/>
          <w:caps w:val="0"/>
          <w:color w:val="0F6FC6" w:themeColor="accent1"/>
          <w:sz w:val="22"/>
          <w:szCs w:val="22"/>
          <w:lang w:val="en-AU"/>
        </w:rPr>
      </w:pPr>
      <w:r w:rsidRPr="00AC7600">
        <w:rPr>
          <w:rFonts w:ascii="Arial" w:hAnsi="Arial" w:cstheme="minorHAnsi"/>
          <w:caps w:val="0"/>
          <w:color w:val="0F6FC6" w:themeColor="accent1"/>
          <w:sz w:val="22"/>
          <w:szCs w:val="22"/>
          <w:lang w:val="en-AU"/>
        </w:rPr>
        <w:t>March</w:t>
      </w:r>
      <w:r w:rsidR="00742CE9" w:rsidRPr="00AC7600">
        <w:rPr>
          <w:rFonts w:ascii="Arial" w:hAnsi="Arial" w:cstheme="minorHAnsi"/>
          <w:caps w:val="0"/>
          <w:color w:val="0F6FC6" w:themeColor="accent1"/>
          <w:sz w:val="22"/>
          <w:szCs w:val="22"/>
          <w:lang w:val="en-AU"/>
        </w:rPr>
        <w:t xml:space="preserve"> 2021</w:t>
      </w:r>
    </w:p>
    <w:p w14:paraId="3D627CC1" w14:textId="77777777" w:rsidR="00390C1A" w:rsidRPr="00AC7600" w:rsidRDefault="00390C1A" w:rsidP="00B43391">
      <w:pPr>
        <w:pStyle w:val="Subtitle"/>
        <w:spacing w:after="0"/>
        <w:ind w:left="426" w:right="476"/>
        <w:jc w:val="both"/>
        <w:rPr>
          <w:rFonts w:ascii="Arial" w:hAnsi="Arial" w:cstheme="minorHAnsi"/>
          <w:color w:val="FF9933"/>
          <w:sz w:val="22"/>
          <w:szCs w:val="22"/>
          <w:lang w:val="en-AU"/>
        </w:rPr>
      </w:pPr>
    </w:p>
    <w:p w14:paraId="0658D747" w14:textId="77777777" w:rsidR="00F942F7" w:rsidRPr="00AC7600" w:rsidRDefault="00390C1A" w:rsidP="00B43391">
      <w:pPr>
        <w:pStyle w:val="Subtitle"/>
        <w:spacing w:after="0"/>
        <w:ind w:left="426" w:right="476"/>
        <w:jc w:val="both"/>
        <w:rPr>
          <w:rFonts w:ascii="Arial" w:hAnsi="Arial" w:cstheme="minorHAnsi"/>
          <w:b/>
          <w:color w:val="FF9933"/>
          <w:sz w:val="22"/>
          <w:szCs w:val="22"/>
          <w:lang w:val="en-AU"/>
        </w:rPr>
      </w:pPr>
      <w:r w:rsidRPr="00AC7600">
        <w:rPr>
          <w:rFonts w:ascii="Arial" w:hAnsi="Arial" w:cstheme="minorHAnsi"/>
          <w:b/>
          <w:color w:val="FF9933"/>
          <w:sz w:val="22"/>
          <w:szCs w:val="22"/>
          <w:lang w:val="en-AU"/>
        </w:rPr>
        <w:t>FOR DISTRIBUTION TO ALL dva COMMUNITY NURSING STAFF</w:t>
      </w:r>
    </w:p>
    <w:p w14:paraId="19476622" w14:textId="77777777" w:rsidR="001A462C" w:rsidRPr="00AC7600" w:rsidRDefault="001A462C" w:rsidP="00B43391">
      <w:pPr>
        <w:spacing w:after="0"/>
        <w:ind w:left="426" w:right="476"/>
        <w:jc w:val="both"/>
        <w:rPr>
          <w:rFonts w:ascii="Arial" w:hAnsi="Arial" w:cstheme="minorHAnsi"/>
          <w:lang w:val="en-AU"/>
        </w:rPr>
      </w:pPr>
    </w:p>
    <w:p w14:paraId="6325E7B0" w14:textId="17735366" w:rsidR="00B12812" w:rsidRPr="00AC7600" w:rsidRDefault="00B12812" w:rsidP="00B43391">
      <w:pPr>
        <w:spacing w:after="0"/>
        <w:ind w:left="426" w:right="476"/>
        <w:jc w:val="both"/>
        <w:rPr>
          <w:rFonts w:ascii="Arial" w:hAnsi="Arial" w:cstheme="minorHAnsi"/>
          <w:lang w:val="en-AU"/>
        </w:rPr>
      </w:pPr>
      <w:r w:rsidRPr="00AC7600">
        <w:rPr>
          <w:rFonts w:ascii="Arial" w:hAnsi="Arial" w:cstheme="minorHAnsi"/>
          <w:lang w:val="en-AU"/>
        </w:rPr>
        <w:t xml:space="preserve">This bulletin is being issued </w:t>
      </w:r>
      <w:r w:rsidR="00EB61D4" w:rsidRPr="00AC7600">
        <w:rPr>
          <w:rFonts w:ascii="Arial" w:hAnsi="Arial" w:cstheme="minorHAnsi"/>
          <w:lang w:val="en-AU"/>
        </w:rPr>
        <w:t>to provide an update to Department of Veterans’ Affairs (DVA) Commun</w:t>
      </w:r>
      <w:r w:rsidR="005E4557" w:rsidRPr="00AC7600">
        <w:rPr>
          <w:rFonts w:ascii="Arial" w:hAnsi="Arial" w:cstheme="minorHAnsi"/>
          <w:lang w:val="en-AU"/>
        </w:rPr>
        <w:t>ity Nursing (CN) providers</w:t>
      </w:r>
      <w:r w:rsidR="00DD73A1" w:rsidRPr="00AC7600">
        <w:rPr>
          <w:rFonts w:ascii="Arial" w:hAnsi="Arial" w:cstheme="minorHAnsi"/>
          <w:lang w:val="en-AU"/>
        </w:rPr>
        <w:t xml:space="preserve"> </w:t>
      </w:r>
      <w:r w:rsidR="00AC7600" w:rsidRPr="00AC7600">
        <w:rPr>
          <w:rFonts w:ascii="Arial" w:hAnsi="Arial" w:cstheme="minorHAnsi"/>
          <w:lang w:val="en-AU"/>
        </w:rPr>
        <w:t>about</w:t>
      </w:r>
      <w:r w:rsidR="00FE150E" w:rsidRPr="00AC7600">
        <w:rPr>
          <w:rFonts w:ascii="Arial" w:hAnsi="Arial" w:cstheme="minorHAnsi"/>
          <w:lang w:val="en-AU"/>
        </w:rPr>
        <w:t xml:space="preserve"> the </w:t>
      </w:r>
      <w:r w:rsidR="00056792">
        <w:rPr>
          <w:rFonts w:ascii="Arial" w:hAnsi="Arial" w:cstheme="minorHAnsi"/>
          <w:lang w:val="en-AU"/>
        </w:rPr>
        <w:t xml:space="preserve">CN </w:t>
      </w:r>
      <w:r w:rsidR="00FE150E" w:rsidRPr="00AC7600">
        <w:rPr>
          <w:rFonts w:ascii="Arial" w:hAnsi="Arial" w:cstheme="minorHAnsi"/>
          <w:lang w:val="en-AU"/>
        </w:rPr>
        <w:t>Schedule of Fees</w:t>
      </w:r>
      <w:r w:rsidR="003F6DF6">
        <w:rPr>
          <w:rFonts w:ascii="Arial" w:hAnsi="Arial" w:cstheme="minorHAnsi"/>
          <w:lang w:val="en-AU"/>
        </w:rPr>
        <w:t xml:space="preserve"> and the extension to COVID-19 Pandemic Provisions</w:t>
      </w:r>
      <w:r w:rsidR="00C474F0" w:rsidRPr="00AC7600">
        <w:rPr>
          <w:rFonts w:ascii="Arial" w:hAnsi="Arial" w:cstheme="minorHAnsi"/>
          <w:lang w:val="en-AU"/>
        </w:rPr>
        <w:t>.</w:t>
      </w:r>
    </w:p>
    <w:p w14:paraId="403633C3" w14:textId="77777777" w:rsidR="002E6383" w:rsidRPr="00AC7600" w:rsidRDefault="002E6383" w:rsidP="00B43391">
      <w:pPr>
        <w:spacing w:after="0"/>
        <w:ind w:left="426" w:right="476"/>
        <w:jc w:val="both"/>
        <w:rPr>
          <w:rFonts w:ascii="Arial" w:hAnsi="Arial" w:cstheme="minorHAnsi"/>
          <w:lang w:val="en-AU"/>
        </w:rPr>
      </w:pPr>
    </w:p>
    <w:p w14:paraId="0ED32429" w14:textId="5E32318C" w:rsidR="00FE150E" w:rsidRPr="00AC7600" w:rsidRDefault="003A53DF" w:rsidP="00B43391">
      <w:pPr>
        <w:spacing w:after="0"/>
        <w:ind w:left="426" w:right="476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Simplification of the </w:t>
      </w:r>
      <w:r w:rsidR="00056792">
        <w:rPr>
          <w:rFonts w:ascii="Arial" w:hAnsi="Arial"/>
          <w:b/>
          <w:bCs/>
        </w:rPr>
        <w:t>CN</w:t>
      </w:r>
      <w:r w:rsidR="00FE150E" w:rsidRPr="00AC7600">
        <w:rPr>
          <w:rFonts w:ascii="Arial" w:hAnsi="Arial"/>
          <w:b/>
          <w:bCs/>
        </w:rPr>
        <w:t xml:space="preserve"> Sch</w:t>
      </w:r>
      <w:r>
        <w:rPr>
          <w:rFonts w:ascii="Arial" w:hAnsi="Arial"/>
          <w:b/>
          <w:bCs/>
        </w:rPr>
        <w:t>edule of Fees</w:t>
      </w:r>
    </w:p>
    <w:p w14:paraId="551EE3FA" w14:textId="46A3ABBD" w:rsidR="00FE150E" w:rsidRPr="00AC7600" w:rsidRDefault="00FE150E" w:rsidP="00B43391">
      <w:pPr>
        <w:spacing w:after="0"/>
        <w:ind w:left="426" w:right="476"/>
        <w:rPr>
          <w:rFonts w:ascii="Arial" w:hAnsi="Arial"/>
        </w:rPr>
      </w:pPr>
      <w:r w:rsidRPr="00AC7600">
        <w:rPr>
          <w:rFonts w:ascii="Arial" w:hAnsi="Arial"/>
        </w:rPr>
        <w:t xml:space="preserve">Further to the </w:t>
      </w:r>
      <w:r w:rsidR="00B83349" w:rsidRPr="00AC7600">
        <w:rPr>
          <w:rFonts w:ascii="Arial" w:hAnsi="Arial"/>
        </w:rPr>
        <w:t xml:space="preserve">information provided in Bulletin 27 </w:t>
      </w:r>
      <w:r w:rsidR="003A53DF">
        <w:rPr>
          <w:rFonts w:ascii="Arial" w:hAnsi="Arial"/>
        </w:rPr>
        <w:t>in January 202</w:t>
      </w:r>
      <w:r w:rsidR="00056792">
        <w:rPr>
          <w:rFonts w:ascii="Arial" w:hAnsi="Arial"/>
        </w:rPr>
        <w:t>1</w:t>
      </w:r>
      <w:r w:rsidR="003A53DF">
        <w:rPr>
          <w:rFonts w:ascii="Arial" w:hAnsi="Arial"/>
        </w:rPr>
        <w:t xml:space="preserve"> </w:t>
      </w:r>
      <w:r w:rsidR="00B83349" w:rsidRPr="00AC7600">
        <w:rPr>
          <w:rFonts w:ascii="Arial" w:hAnsi="Arial"/>
        </w:rPr>
        <w:t>about the additional</w:t>
      </w:r>
      <w:r w:rsidR="003A53DF">
        <w:rPr>
          <w:rFonts w:ascii="Arial" w:hAnsi="Arial"/>
        </w:rPr>
        <w:t>, one-off</w:t>
      </w:r>
      <w:r w:rsidR="00B83349" w:rsidRPr="00AC7600">
        <w:rPr>
          <w:rFonts w:ascii="Arial" w:hAnsi="Arial"/>
        </w:rPr>
        <w:t xml:space="preserve"> increase to the Schedule of Fees and work underway to simplify the Schedule, changes are being made to simplify the Schedule of Fees</w:t>
      </w:r>
      <w:r w:rsidR="003A53DF">
        <w:rPr>
          <w:rFonts w:ascii="Arial" w:hAnsi="Arial"/>
        </w:rPr>
        <w:t>, with effect for claim periods commencing on or after</w:t>
      </w:r>
      <w:r w:rsidR="00B83349" w:rsidRPr="00AC7600">
        <w:rPr>
          <w:rFonts w:ascii="Arial" w:hAnsi="Arial"/>
        </w:rPr>
        <w:t xml:space="preserve"> 1 May 2021</w:t>
      </w:r>
      <w:r w:rsidRPr="00AC7600">
        <w:rPr>
          <w:rFonts w:ascii="Arial" w:hAnsi="Arial"/>
        </w:rPr>
        <w:t>.</w:t>
      </w:r>
    </w:p>
    <w:p w14:paraId="770B2761" w14:textId="77777777" w:rsidR="00AC7600" w:rsidRPr="00AC7600" w:rsidRDefault="00AC7600" w:rsidP="00B43391">
      <w:pPr>
        <w:spacing w:after="0"/>
        <w:ind w:left="426" w:right="476"/>
        <w:rPr>
          <w:rFonts w:ascii="Arial" w:hAnsi="Arial"/>
          <w:u w:val="single"/>
        </w:rPr>
      </w:pPr>
    </w:p>
    <w:p w14:paraId="3C10C13E" w14:textId="401815DA" w:rsidR="00B83349" w:rsidRPr="00AC7600" w:rsidRDefault="00B83349" w:rsidP="00B43391">
      <w:pPr>
        <w:spacing w:after="0"/>
        <w:ind w:left="426" w:right="476"/>
        <w:rPr>
          <w:rFonts w:ascii="Arial" w:hAnsi="Arial"/>
          <w:u w:val="single"/>
        </w:rPr>
      </w:pPr>
      <w:r w:rsidRPr="00AC7600">
        <w:rPr>
          <w:rFonts w:ascii="Arial" w:hAnsi="Arial"/>
          <w:u w:val="single"/>
        </w:rPr>
        <w:t>Background</w:t>
      </w:r>
    </w:p>
    <w:p w14:paraId="69D22B2E" w14:textId="718F9AC4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  <w:r w:rsidRPr="00AC7600">
        <w:rPr>
          <w:rFonts w:ascii="Arial" w:hAnsi="Arial"/>
        </w:rPr>
        <w:t xml:space="preserve">The Government committed through the </w:t>
      </w:r>
      <w:r w:rsidR="00F52E8E">
        <w:rPr>
          <w:rFonts w:ascii="Arial" w:hAnsi="Arial"/>
        </w:rPr>
        <w:t>2020-21 Budget measure</w:t>
      </w:r>
      <w:r w:rsidRPr="00AC7600">
        <w:rPr>
          <w:rFonts w:ascii="Arial" w:hAnsi="Arial"/>
        </w:rPr>
        <w:t xml:space="preserve"> to </w:t>
      </w:r>
      <w:r w:rsidR="00B43391">
        <w:rPr>
          <w:rFonts w:ascii="Arial" w:hAnsi="Arial"/>
        </w:rPr>
        <w:t xml:space="preserve">simplifying the CN Schedule of Fees to help </w:t>
      </w:r>
      <w:r w:rsidR="003A53DF">
        <w:rPr>
          <w:rFonts w:ascii="Arial" w:hAnsi="Arial"/>
        </w:rPr>
        <w:t>make</w:t>
      </w:r>
      <w:r w:rsidR="00B43391">
        <w:rPr>
          <w:rFonts w:ascii="Arial" w:hAnsi="Arial"/>
        </w:rPr>
        <w:t xml:space="preserve"> claiming</w:t>
      </w:r>
      <w:r w:rsidR="003A53DF">
        <w:rPr>
          <w:rFonts w:ascii="Arial" w:hAnsi="Arial"/>
        </w:rPr>
        <w:t xml:space="preserve"> easier for providers, reduce</w:t>
      </w:r>
      <w:r w:rsidR="00B43391">
        <w:rPr>
          <w:rFonts w:ascii="Arial" w:hAnsi="Arial"/>
        </w:rPr>
        <w:t xml:space="preserve"> red tape</w:t>
      </w:r>
      <w:r w:rsidR="003A53DF">
        <w:rPr>
          <w:rFonts w:ascii="Arial" w:hAnsi="Arial"/>
        </w:rPr>
        <w:t>, and make</w:t>
      </w:r>
      <w:r w:rsidRPr="00AC7600">
        <w:rPr>
          <w:rFonts w:ascii="Arial" w:hAnsi="Arial"/>
        </w:rPr>
        <w:t xml:space="preserve"> the claiming process more ef</w:t>
      </w:r>
      <w:r w:rsidR="00B43391">
        <w:rPr>
          <w:rFonts w:ascii="Arial" w:hAnsi="Arial"/>
        </w:rPr>
        <w:t>ficient and easier to navigate.</w:t>
      </w:r>
    </w:p>
    <w:p w14:paraId="3ECF84BD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3A241842" w14:textId="77777777" w:rsidR="00B83349" w:rsidRPr="00AC7600" w:rsidRDefault="00B83349" w:rsidP="00B43391">
      <w:pPr>
        <w:spacing w:after="0"/>
        <w:ind w:left="426" w:right="476"/>
        <w:rPr>
          <w:rFonts w:ascii="Arial" w:hAnsi="Arial"/>
          <w:u w:val="single"/>
        </w:rPr>
      </w:pPr>
      <w:r w:rsidRPr="00AC7600">
        <w:rPr>
          <w:rFonts w:ascii="Arial" w:hAnsi="Arial"/>
          <w:u w:val="single"/>
        </w:rPr>
        <w:t>Consultation</w:t>
      </w:r>
    </w:p>
    <w:p w14:paraId="15C36E67" w14:textId="1361AF4F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  <w:r w:rsidRPr="00AC7600">
        <w:rPr>
          <w:rFonts w:ascii="Arial" w:hAnsi="Arial"/>
        </w:rPr>
        <w:t>In November 2020, D</w:t>
      </w:r>
      <w:r w:rsidR="00B43391">
        <w:rPr>
          <w:rFonts w:ascii="Arial" w:hAnsi="Arial"/>
        </w:rPr>
        <w:t>VA emailed all CN</w:t>
      </w:r>
      <w:r w:rsidRPr="00AC7600">
        <w:rPr>
          <w:rFonts w:ascii="Arial" w:hAnsi="Arial"/>
        </w:rPr>
        <w:t xml:space="preserve"> providers to seek their views on the design of incremental changes to the</w:t>
      </w:r>
      <w:r w:rsidR="00B43391">
        <w:rPr>
          <w:rFonts w:ascii="Arial" w:hAnsi="Arial"/>
        </w:rPr>
        <w:t xml:space="preserve"> Schedule of F</w:t>
      </w:r>
      <w:r w:rsidRPr="00AC7600">
        <w:rPr>
          <w:rFonts w:ascii="Arial" w:hAnsi="Arial"/>
        </w:rPr>
        <w:t>ees in the short term, and</w:t>
      </w:r>
      <w:r w:rsidR="00B43391">
        <w:rPr>
          <w:rFonts w:ascii="Arial" w:hAnsi="Arial"/>
        </w:rPr>
        <w:t xml:space="preserve"> potential options for</w:t>
      </w:r>
      <w:r w:rsidRPr="00AC7600">
        <w:rPr>
          <w:rFonts w:ascii="Arial" w:hAnsi="Arial"/>
        </w:rPr>
        <w:t xml:space="preserve"> more substan</w:t>
      </w:r>
      <w:r w:rsidR="00B43391">
        <w:rPr>
          <w:rFonts w:ascii="Arial" w:hAnsi="Arial"/>
        </w:rPr>
        <w:t>tial change in the longer term.</w:t>
      </w:r>
    </w:p>
    <w:p w14:paraId="056F1168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10FB67CD" w14:textId="1511950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  <w:r w:rsidRPr="00AC7600">
        <w:rPr>
          <w:rFonts w:ascii="Arial" w:hAnsi="Arial"/>
        </w:rPr>
        <w:t>DVA received submi</w:t>
      </w:r>
      <w:r w:rsidR="00B43391">
        <w:rPr>
          <w:rFonts w:ascii="Arial" w:hAnsi="Arial"/>
        </w:rPr>
        <w:t>ssions from 13 CN</w:t>
      </w:r>
      <w:r w:rsidRPr="00AC7600">
        <w:rPr>
          <w:rFonts w:ascii="Arial" w:hAnsi="Arial"/>
        </w:rPr>
        <w:t xml:space="preserve"> providers in response to the consultation process. Many providers suggested that there was an opportunity to change the basis for fees to a simpler time-based/classification structure. Several providers also commented on the </w:t>
      </w:r>
      <w:r w:rsidR="003A53DF">
        <w:rPr>
          <w:rFonts w:ascii="Arial" w:hAnsi="Arial"/>
        </w:rPr>
        <w:t>additional claiming burden of</w:t>
      </w:r>
      <w:r w:rsidR="00B43391">
        <w:rPr>
          <w:rFonts w:ascii="Arial" w:hAnsi="Arial"/>
        </w:rPr>
        <w:t xml:space="preserve"> having a separate t</w:t>
      </w:r>
      <w:r w:rsidRPr="00AC7600">
        <w:rPr>
          <w:rFonts w:ascii="Arial" w:hAnsi="Arial"/>
        </w:rPr>
        <w:t>hree-times-a-day (TDS) schedule that used a</w:t>
      </w:r>
      <w:r w:rsidR="003A53DF">
        <w:rPr>
          <w:rFonts w:ascii="Arial" w:hAnsi="Arial"/>
        </w:rPr>
        <w:t xml:space="preserve"> different approach to the existing</w:t>
      </w:r>
      <w:r w:rsidRPr="00AC7600">
        <w:rPr>
          <w:rFonts w:ascii="Arial" w:hAnsi="Arial"/>
        </w:rPr>
        <w:t xml:space="preserve"> banded fee</w:t>
      </w:r>
      <w:r w:rsidR="003A53DF">
        <w:rPr>
          <w:rFonts w:ascii="Arial" w:hAnsi="Arial"/>
        </w:rPr>
        <w:t xml:space="preserve"> item range</w:t>
      </w:r>
      <w:r w:rsidRPr="00AC7600">
        <w:rPr>
          <w:rFonts w:ascii="Arial" w:hAnsi="Arial"/>
        </w:rPr>
        <w:t xml:space="preserve">s for clinical and </w:t>
      </w:r>
      <w:r w:rsidR="00B43391">
        <w:rPr>
          <w:rFonts w:ascii="Arial" w:hAnsi="Arial"/>
        </w:rPr>
        <w:t>personal care visits. Several</w:t>
      </w:r>
      <w:r w:rsidRPr="00AC7600">
        <w:rPr>
          <w:rFonts w:ascii="Arial" w:hAnsi="Arial"/>
        </w:rPr>
        <w:t xml:space="preserve"> other changes were also </w:t>
      </w:r>
      <w:r w:rsidR="00B43391">
        <w:rPr>
          <w:rFonts w:ascii="Arial" w:hAnsi="Arial"/>
        </w:rPr>
        <w:t>proposed.</w:t>
      </w:r>
    </w:p>
    <w:p w14:paraId="17C9CC9C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33BB4BCC" w14:textId="77777777" w:rsidR="00B83349" w:rsidRPr="00AC7600" w:rsidRDefault="00B83349" w:rsidP="00B43391">
      <w:pPr>
        <w:spacing w:after="0"/>
        <w:ind w:left="426" w:right="476"/>
        <w:rPr>
          <w:rFonts w:ascii="Arial" w:hAnsi="Arial"/>
          <w:u w:val="single"/>
        </w:rPr>
      </w:pPr>
      <w:r w:rsidRPr="00AC7600">
        <w:rPr>
          <w:rFonts w:ascii="Arial" w:hAnsi="Arial"/>
          <w:u w:val="single"/>
        </w:rPr>
        <w:t xml:space="preserve">Analysis of options </w:t>
      </w:r>
    </w:p>
    <w:p w14:paraId="3357A3C2" w14:textId="6C3F2A4B" w:rsidR="00B83349" w:rsidRPr="00AC7600" w:rsidRDefault="00B43391" w:rsidP="00B43391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>Restructuring the CN p</w:t>
      </w:r>
      <w:r w:rsidR="00B83349" w:rsidRPr="00AC7600">
        <w:rPr>
          <w:rFonts w:ascii="Arial" w:hAnsi="Arial"/>
        </w:rPr>
        <w:t>rogram</w:t>
      </w:r>
      <w:r>
        <w:rPr>
          <w:rFonts w:ascii="Arial" w:hAnsi="Arial"/>
        </w:rPr>
        <w:t>’s</w:t>
      </w:r>
      <w:r w:rsidR="00B83349" w:rsidRPr="00AC7600">
        <w:rPr>
          <w:rFonts w:ascii="Arial" w:hAnsi="Arial"/>
        </w:rPr>
        <w:t xml:space="preserve"> </w:t>
      </w:r>
      <w:r>
        <w:rPr>
          <w:rFonts w:ascii="Arial" w:hAnsi="Arial"/>
        </w:rPr>
        <w:t>Schedule of F</w:t>
      </w:r>
      <w:r w:rsidR="00B83349" w:rsidRPr="00AC7600">
        <w:rPr>
          <w:rFonts w:ascii="Arial" w:hAnsi="Arial"/>
        </w:rPr>
        <w:t xml:space="preserve">ees to a time-based/classification structure is a substantial change that is </w:t>
      </w:r>
      <w:r>
        <w:rPr>
          <w:rFonts w:ascii="Arial" w:hAnsi="Arial"/>
        </w:rPr>
        <w:t>outside the scope of the current review process, and not something that can be</w:t>
      </w:r>
      <w:r w:rsidR="00B83349" w:rsidRPr="00AC7600">
        <w:rPr>
          <w:rFonts w:ascii="Arial" w:hAnsi="Arial"/>
        </w:rPr>
        <w:t xml:space="preserve"> implement</w:t>
      </w:r>
      <w:r>
        <w:rPr>
          <w:rFonts w:ascii="Arial" w:hAnsi="Arial"/>
        </w:rPr>
        <w:t>ed</w:t>
      </w:r>
      <w:r w:rsidR="00B83349" w:rsidRPr="00AC7600">
        <w:rPr>
          <w:rFonts w:ascii="Arial" w:hAnsi="Arial"/>
        </w:rPr>
        <w:t xml:space="preserve"> in the short term. However, DVA will consider opportunities in the future </w:t>
      </w:r>
      <w:r>
        <w:rPr>
          <w:rFonts w:ascii="Arial" w:hAnsi="Arial"/>
        </w:rPr>
        <w:t>for more transformative reform.</w:t>
      </w:r>
    </w:p>
    <w:p w14:paraId="44320A5D" w14:textId="77777777" w:rsidR="00B83349" w:rsidRPr="00AC7600" w:rsidRDefault="00B83349" w:rsidP="00B43391">
      <w:pPr>
        <w:spacing w:after="0"/>
        <w:ind w:left="426" w:right="476"/>
        <w:rPr>
          <w:rFonts w:ascii="Arial" w:hAnsi="Arial"/>
          <w:u w:val="single"/>
        </w:rPr>
      </w:pPr>
    </w:p>
    <w:p w14:paraId="4EC4772A" w14:textId="4C081EA6" w:rsidR="00B83349" w:rsidRPr="00AC7600" w:rsidRDefault="00E3448F" w:rsidP="00B43391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lastRenderedPageBreak/>
        <w:t>The most feasible option</w:t>
      </w:r>
      <w:r w:rsidRPr="00AC7600">
        <w:rPr>
          <w:rFonts w:ascii="Arial" w:hAnsi="Arial"/>
        </w:rPr>
        <w:t xml:space="preserve"> to simpl</w:t>
      </w:r>
      <w:r>
        <w:rPr>
          <w:rFonts w:ascii="Arial" w:hAnsi="Arial"/>
        </w:rPr>
        <w:t>ify the Schedule of Fees in the short term is to i</w:t>
      </w:r>
      <w:r w:rsidR="00B43391">
        <w:rPr>
          <w:rFonts w:ascii="Arial" w:hAnsi="Arial"/>
        </w:rPr>
        <w:t>ntegrat</w:t>
      </w:r>
      <w:r>
        <w:rPr>
          <w:rFonts w:ascii="Arial" w:hAnsi="Arial"/>
        </w:rPr>
        <w:t>e</w:t>
      </w:r>
      <w:r w:rsidR="00B43391">
        <w:rPr>
          <w:rFonts w:ascii="Arial" w:hAnsi="Arial"/>
        </w:rPr>
        <w:t xml:space="preserve"> the TDS range into the clinical and personal care core ranges, and expand the </w:t>
      </w:r>
      <w:r w:rsidR="003A53DF">
        <w:rPr>
          <w:rFonts w:ascii="Arial" w:hAnsi="Arial"/>
        </w:rPr>
        <w:t xml:space="preserve">add-on and </w:t>
      </w:r>
      <w:r w:rsidR="00B43391">
        <w:rPr>
          <w:rFonts w:ascii="Arial" w:hAnsi="Arial"/>
        </w:rPr>
        <w:t>second worker</w:t>
      </w:r>
      <w:r w:rsidR="003A53DF">
        <w:rPr>
          <w:rFonts w:ascii="Arial" w:hAnsi="Arial"/>
        </w:rPr>
        <w:t xml:space="preserve"> item</w:t>
      </w:r>
      <w:r w:rsidR="00B43391">
        <w:rPr>
          <w:rFonts w:ascii="Arial" w:hAnsi="Arial"/>
        </w:rPr>
        <w:t xml:space="preserve"> range</w:t>
      </w:r>
      <w:r w:rsidR="003A53DF">
        <w:rPr>
          <w:rFonts w:ascii="Arial" w:hAnsi="Arial"/>
        </w:rPr>
        <w:t>s</w:t>
      </w:r>
      <w:r w:rsidR="00B43391">
        <w:rPr>
          <w:rFonts w:ascii="Arial" w:hAnsi="Arial"/>
        </w:rPr>
        <w:t>,</w:t>
      </w:r>
      <w:r w:rsidR="00B83349" w:rsidRPr="00AC7600">
        <w:rPr>
          <w:rFonts w:ascii="Arial" w:hAnsi="Arial"/>
        </w:rPr>
        <w:t xml:space="preserve"> </w:t>
      </w:r>
      <w:r w:rsidR="00253F31">
        <w:rPr>
          <w:rFonts w:ascii="Arial" w:hAnsi="Arial"/>
        </w:rPr>
        <w:t>to enable providers to claim up to three visits a d</w:t>
      </w:r>
      <w:r w:rsidR="003A53DF">
        <w:rPr>
          <w:rFonts w:ascii="Arial" w:hAnsi="Arial"/>
        </w:rPr>
        <w:t>ay over the 28 day claim period</w:t>
      </w:r>
      <w:r w:rsidR="00253F31">
        <w:rPr>
          <w:rFonts w:ascii="Arial" w:hAnsi="Arial"/>
        </w:rPr>
        <w:t xml:space="preserve"> thro</w:t>
      </w:r>
      <w:r w:rsidR="003A53DF">
        <w:rPr>
          <w:rFonts w:ascii="Arial" w:hAnsi="Arial"/>
        </w:rPr>
        <w:t>ugh these ranges</w:t>
      </w:r>
      <w:r>
        <w:rPr>
          <w:rFonts w:ascii="Arial" w:hAnsi="Arial"/>
        </w:rPr>
        <w:t>.</w:t>
      </w:r>
      <w:r w:rsidR="00B43391">
        <w:rPr>
          <w:rFonts w:ascii="Arial" w:hAnsi="Arial"/>
        </w:rPr>
        <w:t xml:space="preserve"> </w:t>
      </w:r>
      <w:r w:rsidR="00253F31">
        <w:rPr>
          <w:rFonts w:ascii="Arial" w:hAnsi="Arial"/>
        </w:rPr>
        <w:t>The</w:t>
      </w:r>
      <w:r w:rsidR="00B83349" w:rsidRPr="00AC7600">
        <w:rPr>
          <w:rFonts w:ascii="Arial" w:hAnsi="Arial"/>
        </w:rPr>
        <w:t xml:space="preserve"> </w:t>
      </w:r>
      <w:r w:rsidR="00253F31">
        <w:rPr>
          <w:rFonts w:ascii="Arial" w:hAnsi="Arial"/>
        </w:rPr>
        <w:t xml:space="preserve">new </w:t>
      </w:r>
      <w:r w:rsidR="00B83349" w:rsidRPr="00AC7600">
        <w:rPr>
          <w:rFonts w:ascii="Arial" w:hAnsi="Arial"/>
        </w:rPr>
        <w:t>fee</w:t>
      </w:r>
      <w:r w:rsidR="00253F31">
        <w:rPr>
          <w:rFonts w:ascii="Arial" w:hAnsi="Arial"/>
        </w:rPr>
        <w:t xml:space="preserve"> item</w:t>
      </w:r>
      <w:r w:rsidR="00B83349" w:rsidRPr="00AC7600">
        <w:rPr>
          <w:rFonts w:ascii="Arial" w:hAnsi="Arial"/>
        </w:rPr>
        <w:t>s</w:t>
      </w:r>
      <w:r w:rsidR="00253F31">
        <w:rPr>
          <w:rFonts w:ascii="Arial" w:hAnsi="Arial"/>
        </w:rPr>
        <w:t xml:space="preserve"> have been</w:t>
      </w:r>
      <w:r w:rsidR="00B83349" w:rsidRPr="00AC7600">
        <w:rPr>
          <w:rFonts w:ascii="Arial" w:hAnsi="Arial"/>
        </w:rPr>
        <w:t xml:space="preserve"> adjusted for indexation to 2021, including the 11 percent increase from 1 February 2021. </w:t>
      </w:r>
    </w:p>
    <w:p w14:paraId="621C56E1" w14:textId="77777777" w:rsidR="00B83349" w:rsidRPr="00AC7600" w:rsidRDefault="00B83349" w:rsidP="00B43391">
      <w:pPr>
        <w:spacing w:after="0"/>
        <w:ind w:left="426" w:right="476"/>
        <w:rPr>
          <w:rFonts w:ascii="Arial" w:hAnsi="Arial"/>
          <w:b/>
          <w:bCs/>
        </w:rPr>
      </w:pPr>
    </w:p>
    <w:p w14:paraId="743DE0A8" w14:textId="679A326C" w:rsidR="00B83349" w:rsidRPr="00AC7600" w:rsidRDefault="0026019C" w:rsidP="00B43391">
      <w:pPr>
        <w:spacing w:after="0"/>
        <w:ind w:left="426" w:right="476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What is changing in the</w:t>
      </w:r>
      <w:r w:rsidR="00B83349" w:rsidRPr="00AC7600">
        <w:rPr>
          <w:rFonts w:ascii="Arial" w:hAnsi="Arial"/>
          <w:u w:val="single"/>
        </w:rPr>
        <w:t xml:space="preserve"> </w:t>
      </w:r>
      <w:r w:rsidR="00253F31">
        <w:rPr>
          <w:rFonts w:ascii="Arial" w:hAnsi="Arial"/>
          <w:u w:val="single"/>
        </w:rPr>
        <w:t>Schedule of Fees</w:t>
      </w:r>
    </w:p>
    <w:p w14:paraId="20E66720" w14:textId="393E3AB9" w:rsidR="009F364D" w:rsidRDefault="009F364D" w:rsidP="00B43391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>The updated Schedule of Fees will take effect for claim periods commencing on or after 1 May 2021.</w:t>
      </w:r>
      <w:r w:rsidR="0026019C">
        <w:rPr>
          <w:rFonts w:ascii="Arial" w:hAnsi="Arial"/>
        </w:rPr>
        <w:t xml:space="preserve"> The TDS, Clinical and Personal Core, Clinical and Personal Add-on, and Clinical and Personal Second Worker Item Ranges will be impacted by the change.</w:t>
      </w:r>
    </w:p>
    <w:p w14:paraId="7F9DF913" w14:textId="372EDD90" w:rsidR="009F364D" w:rsidRDefault="009F364D" w:rsidP="00B43391">
      <w:pPr>
        <w:spacing w:after="0"/>
        <w:ind w:left="426" w:right="476"/>
        <w:rPr>
          <w:rFonts w:ascii="Arial" w:hAnsi="Arial"/>
        </w:rPr>
      </w:pPr>
    </w:p>
    <w:p w14:paraId="533846B1" w14:textId="31E2D8A2" w:rsidR="0026019C" w:rsidRDefault="0026019C" w:rsidP="0026019C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 xml:space="preserve">The Notes for </w:t>
      </w:r>
      <w:r w:rsidR="00F52E8E">
        <w:rPr>
          <w:rFonts w:ascii="Arial" w:hAnsi="Arial"/>
        </w:rPr>
        <w:t>C</w:t>
      </w:r>
      <w:r>
        <w:rPr>
          <w:rFonts w:ascii="Arial" w:hAnsi="Arial"/>
        </w:rPr>
        <w:t xml:space="preserve">ommunity </w:t>
      </w:r>
      <w:r w:rsidR="00F52E8E">
        <w:rPr>
          <w:rFonts w:ascii="Arial" w:hAnsi="Arial"/>
        </w:rPr>
        <w:t>N</w:t>
      </w:r>
      <w:r>
        <w:rPr>
          <w:rFonts w:ascii="Arial" w:hAnsi="Arial"/>
        </w:rPr>
        <w:t xml:space="preserve">ursing </w:t>
      </w:r>
      <w:r w:rsidR="00F52E8E">
        <w:rPr>
          <w:rFonts w:ascii="Arial" w:hAnsi="Arial"/>
        </w:rPr>
        <w:t>P</w:t>
      </w:r>
      <w:r>
        <w:rPr>
          <w:rFonts w:ascii="Arial" w:hAnsi="Arial"/>
        </w:rPr>
        <w:t>roviders will be updated to reflect the removal of the TDS item range.</w:t>
      </w:r>
    </w:p>
    <w:p w14:paraId="03D5ABC1" w14:textId="77777777" w:rsidR="0026019C" w:rsidRDefault="0026019C" w:rsidP="00B43391">
      <w:pPr>
        <w:spacing w:after="0"/>
        <w:ind w:left="426" w:right="476"/>
        <w:rPr>
          <w:rFonts w:ascii="Arial" w:hAnsi="Arial"/>
          <w:i/>
        </w:rPr>
      </w:pPr>
    </w:p>
    <w:p w14:paraId="1BF6A2B3" w14:textId="75B0345C" w:rsidR="0026019C" w:rsidRPr="0026019C" w:rsidRDefault="0026019C" w:rsidP="00B43391">
      <w:pPr>
        <w:spacing w:after="0"/>
        <w:ind w:left="426" w:right="476"/>
        <w:rPr>
          <w:rFonts w:ascii="Arial" w:hAnsi="Arial"/>
          <w:i/>
        </w:rPr>
      </w:pPr>
      <w:r w:rsidRPr="0026019C">
        <w:rPr>
          <w:rFonts w:ascii="Arial" w:hAnsi="Arial"/>
          <w:i/>
        </w:rPr>
        <w:t>Items that will be removed</w:t>
      </w:r>
    </w:p>
    <w:p w14:paraId="4335C10C" w14:textId="53C96F91" w:rsidR="0026019C" w:rsidRDefault="00253F31" w:rsidP="00B43391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>The TDS item range is being removed</w:t>
      </w:r>
      <w:r w:rsidR="009F364D">
        <w:rPr>
          <w:rFonts w:ascii="Arial" w:hAnsi="Arial"/>
        </w:rPr>
        <w:t>.</w:t>
      </w:r>
      <w:r w:rsidR="008E595F">
        <w:rPr>
          <w:rFonts w:ascii="Arial" w:hAnsi="Arial"/>
        </w:rPr>
        <w:t xml:space="preserve"> </w:t>
      </w:r>
      <w:r w:rsidR="0026019C">
        <w:rPr>
          <w:rFonts w:ascii="Arial" w:hAnsi="Arial"/>
        </w:rPr>
        <w:t>It will still be available for claim periods commencing up to and including 30 April 202</w:t>
      </w:r>
      <w:r w:rsidR="00056792">
        <w:rPr>
          <w:rFonts w:ascii="Arial" w:hAnsi="Arial"/>
        </w:rPr>
        <w:t>1</w:t>
      </w:r>
      <w:r w:rsidR="0026019C">
        <w:rPr>
          <w:rFonts w:ascii="Arial" w:hAnsi="Arial"/>
        </w:rPr>
        <w:t>.</w:t>
      </w:r>
    </w:p>
    <w:p w14:paraId="22E57CC3" w14:textId="77777777" w:rsidR="0026019C" w:rsidRDefault="0026019C" w:rsidP="00B43391">
      <w:pPr>
        <w:spacing w:after="0"/>
        <w:ind w:left="426" w:right="476"/>
        <w:rPr>
          <w:rFonts w:ascii="Arial" w:hAnsi="Arial"/>
        </w:rPr>
      </w:pPr>
    </w:p>
    <w:p w14:paraId="2EA6011F" w14:textId="7A3CE930" w:rsidR="00B83349" w:rsidRDefault="0026019C" w:rsidP="00B43391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>To accommodate the new fee items being added to the other impacted</w:t>
      </w:r>
      <w:r w:rsidR="008E595F">
        <w:rPr>
          <w:rFonts w:ascii="Arial" w:hAnsi="Arial"/>
        </w:rPr>
        <w:t xml:space="preserve"> item range</w:t>
      </w:r>
      <w:r>
        <w:rPr>
          <w:rFonts w:ascii="Arial" w:hAnsi="Arial"/>
        </w:rPr>
        <w:t>s</w:t>
      </w:r>
      <w:r w:rsidR="008E595F">
        <w:rPr>
          <w:rFonts w:ascii="Arial" w:hAnsi="Arial"/>
        </w:rPr>
        <w:t xml:space="preserve">, the current </w:t>
      </w:r>
      <w:r w:rsidR="00F52E8E">
        <w:rPr>
          <w:rFonts w:ascii="Arial" w:hAnsi="Arial"/>
        </w:rPr>
        <w:t>upper visit banding item numbers</w:t>
      </w:r>
      <w:r w:rsidR="008E595F">
        <w:rPr>
          <w:rFonts w:ascii="Arial" w:hAnsi="Arial"/>
        </w:rPr>
        <w:t xml:space="preserve"> will be removed</w:t>
      </w:r>
      <w:r>
        <w:rPr>
          <w:rFonts w:ascii="Arial" w:hAnsi="Arial"/>
        </w:rPr>
        <w:t xml:space="preserve"> from these ranges</w:t>
      </w:r>
      <w:r w:rsidR="008E595F">
        <w:rPr>
          <w:rFonts w:ascii="Arial" w:hAnsi="Arial"/>
        </w:rPr>
        <w:t>. The items that are being removed will remain active for claim period</w:t>
      </w:r>
      <w:r w:rsidR="007541B9">
        <w:rPr>
          <w:rFonts w:ascii="Arial" w:hAnsi="Arial"/>
        </w:rPr>
        <w:t>s</w:t>
      </w:r>
      <w:r w:rsidR="008E595F">
        <w:rPr>
          <w:rFonts w:ascii="Arial" w:hAnsi="Arial"/>
        </w:rPr>
        <w:t xml:space="preserve"> commencing up to and including 30 April 2021. </w:t>
      </w:r>
    </w:p>
    <w:p w14:paraId="3E052F86" w14:textId="2E9F7A84" w:rsidR="009F364D" w:rsidRDefault="009F364D" w:rsidP="00B43391">
      <w:pPr>
        <w:spacing w:after="0"/>
        <w:ind w:left="426" w:right="476"/>
        <w:rPr>
          <w:rFonts w:ascii="Arial" w:hAnsi="Arial"/>
        </w:rPr>
      </w:pPr>
    </w:p>
    <w:p w14:paraId="372BDC1E" w14:textId="3E117CB4" w:rsidR="0026019C" w:rsidRPr="0026019C" w:rsidRDefault="0026019C" w:rsidP="00B43391">
      <w:pPr>
        <w:spacing w:after="0"/>
        <w:ind w:left="426" w:right="476"/>
        <w:rPr>
          <w:rFonts w:ascii="Arial" w:hAnsi="Arial"/>
          <w:i/>
        </w:rPr>
      </w:pPr>
      <w:r w:rsidRPr="0026019C">
        <w:rPr>
          <w:rFonts w:ascii="Arial" w:hAnsi="Arial"/>
          <w:i/>
        </w:rPr>
        <w:t>Items that will be added</w:t>
      </w:r>
    </w:p>
    <w:p w14:paraId="4255A989" w14:textId="6A86FBD4" w:rsidR="009F364D" w:rsidRDefault="009F364D" w:rsidP="00B43391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>The following item</w:t>
      </w:r>
      <w:r w:rsidR="00E3448F">
        <w:rPr>
          <w:rFonts w:ascii="Arial" w:hAnsi="Arial"/>
        </w:rPr>
        <w:t>s</w:t>
      </w:r>
      <w:r>
        <w:rPr>
          <w:rFonts w:ascii="Arial" w:hAnsi="Arial"/>
        </w:rPr>
        <w:t xml:space="preserve"> will be expanded from the existing upper limit to have upper visit banding for up to 84 visits per claim period:</w:t>
      </w:r>
    </w:p>
    <w:p w14:paraId="5E81F170" w14:textId="77777777" w:rsidR="009F364D" w:rsidRDefault="009F364D" w:rsidP="009F364D">
      <w:pPr>
        <w:pStyle w:val="ListParagraph"/>
        <w:numPr>
          <w:ilvl w:val="0"/>
          <w:numId w:val="9"/>
        </w:numPr>
        <w:spacing w:after="0"/>
        <w:ind w:right="476"/>
        <w:rPr>
          <w:rFonts w:ascii="Arial" w:hAnsi="Arial"/>
        </w:rPr>
      </w:pPr>
      <w:r>
        <w:rPr>
          <w:rFonts w:ascii="Arial" w:hAnsi="Arial"/>
        </w:rPr>
        <w:t>Clinical Care core</w:t>
      </w:r>
    </w:p>
    <w:p w14:paraId="69713742" w14:textId="77777777" w:rsidR="009F364D" w:rsidRDefault="009F364D" w:rsidP="009F364D">
      <w:pPr>
        <w:pStyle w:val="ListParagraph"/>
        <w:numPr>
          <w:ilvl w:val="0"/>
          <w:numId w:val="9"/>
        </w:numPr>
        <w:spacing w:after="0"/>
        <w:ind w:right="476"/>
        <w:rPr>
          <w:rFonts w:ascii="Arial" w:hAnsi="Arial"/>
        </w:rPr>
      </w:pPr>
      <w:r>
        <w:rPr>
          <w:rFonts w:ascii="Arial" w:hAnsi="Arial"/>
        </w:rPr>
        <w:t>Personal Care core</w:t>
      </w:r>
    </w:p>
    <w:p w14:paraId="1E72A7E0" w14:textId="77777777" w:rsidR="009F364D" w:rsidRDefault="009F364D" w:rsidP="009F364D">
      <w:pPr>
        <w:pStyle w:val="ListParagraph"/>
        <w:numPr>
          <w:ilvl w:val="0"/>
          <w:numId w:val="9"/>
        </w:numPr>
        <w:spacing w:after="0"/>
        <w:ind w:right="476"/>
        <w:rPr>
          <w:rFonts w:ascii="Arial" w:hAnsi="Arial"/>
        </w:rPr>
      </w:pPr>
      <w:r>
        <w:rPr>
          <w:rFonts w:ascii="Arial" w:hAnsi="Arial"/>
        </w:rPr>
        <w:t>Clinical Care add-on</w:t>
      </w:r>
    </w:p>
    <w:p w14:paraId="0F60117E" w14:textId="57B3F6B2" w:rsidR="009F364D" w:rsidRDefault="009F364D" w:rsidP="009F364D">
      <w:pPr>
        <w:pStyle w:val="ListParagraph"/>
        <w:numPr>
          <w:ilvl w:val="0"/>
          <w:numId w:val="9"/>
        </w:numPr>
        <w:spacing w:after="0"/>
        <w:ind w:right="476"/>
        <w:rPr>
          <w:rFonts w:ascii="Arial" w:hAnsi="Arial"/>
        </w:rPr>
      </w:pPr>
      <w:r w:rsidRPr="009F364D">
        <w:rPr>
          <w:rFonts w:ascii="Arial" w:hAnsi="Arial"/>
        </w:rPr>
        <w:t xml:space="preserve">Personal </w:t>
      </w:r>
      <w:r>
        <w:rPr>
          <w:rFonts w:ascii="Arial" w:hAnsi="Arial"/>
        </w:rPr>
        <w:t>Care add-on</w:t>
      </w:r>
    </w:p>
    <w:p w14:paraId="2E0BEE8B" w14:textId="56DBA2C0" w:rsidR="009F364D" w:rsidRDefault="009F364D" w:rsidP="009F364D">
      <w:pPr>
        <w:pStyle w:val="ListParagraph"/>
        <w:numPr>
          <w:ilvl w:val="0"/>
          <w:numId w:val="9"/>
        </w:numPr>
        <w:spacing w:after="0"/>
        <w:ind w:right="476"/>
        <w:rPr>
          <w:rFonts w:ascii="Arial" w:hAnsi="Arial"/>
        </w:rPr>
      </w:pPr>
      <w:r>
        <w:rPr>
          <w:rFonts w:ascii="Arial" w:hAnsi="Arial"/>
        </w:rPr>
        <w:t>Clinical Care second worker</w:t>
      </w:r>
    </w:p>
    <w:p w14:paraId="42FF8A99" w14:textId="5A8DD365" w:rsidR="009F364D" w:rsidRDefault="009F364D" w:rsidP="009F364D">
      <w:pPr>
        <w:pStyle w:val="ListParagraph"/>
        <w:numPr>
          <w:ilvl w:val="0"/>
          <w:numId w:val="9"/>
        </w:numPr>
        <w:spacing w:after="0"/>
        <w:ind w:right="476"/>
        <w:rPr>
          <w:rFonts w:ascii="Arial" w:hAnsi="Arial"/>
        </w:rPr>
      </w:pPr>
      <w:r>
        <w:rPr>
          <w:rFonts w:ascii="Arial" w:hAnsi="Arial"/>
        </w:rPr>
        <w:t>Personal Care second worker</w:t>
      </w:r>
    </w:p>
    <w:p w14:paraId="0EA22011" w14:textId="5B9F6D63" w:rsidR="009F364D" w:rsidRDefault="009F364D" w:rsidP="009F364D">
      <w:pPr>
        <w:spacing w:after="0"/>
        <w:ind w:left="426" w:right="476"/>
        <w:rPr>
          <w:rFonts w:ascii="Arial" w:hAnsi="Arial"/>
        </w:rPr>
      </w:pPr>
    </w:p>
    <w:p w14:paraId="0E346342" w14:textId="42A2843A" w:rsidR="009F364D" w:rsidRDefault="009F364D" w:rsidP="009F364D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 xml:space="preserve">The new items in each range will be for bandings of ten visits. </w:t>
      </w:r>
      <w:r w:rsidR="008E595F">
        <w:rPr>
          <w:rFonts w:ascii="Arial" w:hAnsi="Arial"/>
        </w:rPr>
        <w:t>While bandings of five visits were considered, this would add significantly to the length of the Schedule of Fees and detract from the effort to simplify the Schedule.</w:t>
      </w:r>
    </w:p>
    <w:p w14:paraId="6FB76E6C" w14:textId="6D45D877" w:rsidR="004E6928" w:rsidRDefault="004E6928" w:rsidP="009F364D">
      <w:pPr>
        <w:spacing w:after="0"/>
        <w:ind w:left="426" w:right="476"/>
        <w:rPr>
          <w:rFonts w:ascii="Arial" w:hAnsi="Arial"/>
        </w:rPr>
      </w:pPr>
    </w:p>
    <w:p w14:paraId="2B8E31B6" w14:textId="27EC0A2A" w:rsidR="0026019C" w:rsidRPr="0026019C" w:rsidRDefault="0026019C" w:rsidP="009F364D">
      <w:pPr>
        <w:spacing w:after="0"/>
        <w:ind w:left="426" w:right="476"/>
        <w:rPr>
          <w:rFonts w:ascii="Arial" w:hAnsi="Arial"/>
          <w:i/>
        </w:rPr>
      </w:pPr>
      <w:r w:rsidRPr="0026019C">
        <w:rPr>
          <w:rFonts w:ascii="Arial" w:hAnsi="Arial"/>
          <w:i/>
        </w:rPr>
        <w:t>Item ranges that won’t change</w:t>
      </w:r>
    </w:p>
    <w:p w14:paraId="3FABE9C2" w14:textId="07340966" w:rsidR="004E6928" w:rsidRDefault="004E6928" w:rsidP="009F364D">
      <w:pPr>
        <w:spacing w:after="0"/>
        <w:ind w:left="426" w:right="476"/>
        <w:rPr>
          <w:rFonts w:ascii="Arial" w:hAnsi="Arial"/>
        </w:rPr>
      </w:pPr>
      <w:r>
        <w:rPr>
          <w:rFonts w:ascii="Arial" w:hAnsi="Arial"/>
        </w:rPr>
        <w:t xml:space="preserve">There will be </w:t>
      </w:r>
      <w:r w:rsidRPr="004E6928">
        <w:rPr>
          <w:rFonts w:ascii="Arial" w:hAnsi="Arial"/>
          <w:b/>
        </w:rPr>
        <w:t>no change</w:t>
      </w:r>
      <w:r>
        <w:rPr>
          <w:rFonts w:ascii="Arial" w:hAnsi="Arial"/>
        </w:rPr>
        <w:t xml:space="preserve"> to the Other Items, Clinical Overnight Care, Personal Overnight Care, or Nursing Consumables item ranges.</w:t>
      </w:r>
    </w:p>
    <w:p w14:paraId="3457DDDB" w14:textId="371DD9A1" w:rsidR="009F364D" w:rsidRDefault="009F364D" w:rsidP="00310AA8">
      <w:pPr>
        <w:spacing w:after="0"/>
        <w:ind w:left="426" w:right="476"/>
        <w:rPr>
          <w:rFonts w:ascii="Arial" w:hAnsi="Arial"/>
        </w:rPr>
      </w:pPr>
    </w:p>
    <w:p w14:paraId="0F32BB53" w14:textId="77777777" w:rsidR="00F52E8E" w:rsidRDefault="00F52E8E" w:rsidP="00310AA8">
      <w:pPr>
        <w:spacing w:after="0"/>
        <w:ind w:left="426" w:right="476"/>
        <w:rPr>
          <w:rFonts w:ascii="Arial" w:hAnsi="Arial"/>
        </w:rPr>
      </w:pPr>
    </w:p>
    <w:p w14:paraId="797A7B8A" w14:textId="77777777" w:rsidR="00310AA8" w:rsidRDefault="00310AA8" w:rsidP="00310AA8">
      <w:pPr>
        <w:spacing w:after="0"/>
        <w:ind w:left="426" w:right="476"/>
        <w:rPr>
          <w:rFonts w:ascii="Arial" w:hAnsi="Arial"/>
        </w:rPr>
      </w:pPr>
    </w:p>
    <w:p w14:paraId="2CEAEFE6" w14:textId="77777777" w:rsidR="00310AA8" w:rsidRDefault="00310AA8" w:rsidP="004E6928">
      <w:pPr>
        <w:spacing w:after="0"/>
        <w:ind w:left="426" w:right="476"/>
        <w:rPr>
          <w:rFonts w:ascii="Arial" w:hAnsi="Arial"/>
          <w:u w:val="single"/>
        </w:rPr>
      </w:pPr>
    </w:p>
    <w:p w14:paraId="19E001F7" w14:textId="77777777" w:rsidR="00310AA8" w:rsidRDefault="00310AA8" w:rsidP="004E6928">
      <w:pPr>
        <w:spacing w:after="0"/>
        <w:ind w:left="426" w:right="476"/>
        <w:rPr>
          <w:rFonts w:ascii="Arial" w:hAnsi="Arial"/>
          <w:u w:val="single"/>
        </w:rPr>
      </w:pPr>
    </w:p>
    <w:p w14:paraId="23F7C019" w14:textId="77777777" w:rsidR="00310AA8" w:rsidRDefault="00310AA8" w:rsidP="004E6928">
      <w:pPr>
        <w:spacing w:after="0"/>
        <w:ind w:left="426" w:right="476"/>
        <w:rPr>
          <w:rFonts w:ascii="Arial" w:hAnsi="Arial"/>
          <w:u w:val="single"/>
        </w:rPr>
      </w:pPr>
    </w:p>
    <w:p w14:paraId="62A67D46" w14:textId="4F104A95" w:rsidR="009F364D" w:rsidRPr="00A307DE" w:rsidRDefault="004E6928" w:rsidP="0026019C">
      <w:pPr>
        <w:spacing w:after="0"/>
        <w:ind w:left="567" w:right="476"/>
        <w:rPr>
          <w:rFonts w:ascii="Arial" w:hAnsi="Arial"/>
          <w:u w:val="single"/>
        </w:rPr>
      </w:pPr>
      <w:r w:rsidRPr="00A307DE">
        <w:rPr>
          <w:rFonts w:ascii="Arial" w:hAnsi="Arial"/>
          <w:u w:val="single"/>
        </w:rPr>
        <w:lastRenderedPageBreak/>
        <w:t>Summary of Changes to Fee Items</w:t>
      </w:r>
    </w:p>
    <w:tbl>
      <w:tblPr>
        <w:tblpPr w:leftFromText="180" w:rightFromText="180" w:vertAnchor="text" w:horzAnchor="margin" w:tblpXSpec="center" w:tblpY="159"/>
        <w:tblW w:w="0" w:type="auto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7178"/>
      </w:tblGrid>
      <w:tr w:rsidR="00310AA8" w:rsidRPr="00AC7600" w14:paraId="5671B02F" w14:textId="77777777" w:rsidTr="00F52E8E"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9D53" w14:textId="5777E83A" w:rsidR="00310AA8" w:rsidRPr="00AC7600" w:rsidRDefault="00E3448F" w:rsidP="00E3448F">
            <w:pPr>
              <w:spacing w:after="0"/>
              <w:ind w:right="476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310AA8">
              <w:rPr>
                <w:rFonts w:ascii="Arial" w:hAnsi="Arial"/>
              </w:rPr>
              <w:t>tems with n</w:t>
            </w:r>
            <w:r w:rsidR="00310AA8" w:rsidRPr="00AC7600">
              <w:rPr>
                <w:rFonts w:ascii="Arial" w:hAnsi="Arial"/>
              </w:rPr>
              <w:t>o change</w:t>
            </w:r>
          </w:p>
        </w:tc>
        <w:tc>
          <w:tcPr>
            <w:tcW w:w="7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85491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Clinical care core schedule – NL01 to NL09, NL18</w:t>
            </w:r>
          </w:p>
          <w:p w14:paraId="5BD1093A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Clinical care add-ons – NS01 to NS07, NS10 to NS14</w:t>
            </w:r>
          </w:p>
          <w:p w14:paraId="7D5BEC01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Clinical care second worker – NS16 to NS22, NS25 to NS29</w:t>
            </w:r>
          </w:p>
          <w:p w14:paraId="4A79DED2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core schedule – NP01 to NP07</w:t>
            </w:r>
          </w:p>
          <w:p w14:paraId="4065ECE4" w14:textId="26F9045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add</w:t>
            </w:r>
            <w:r w:rsidR="00810A74">
              <w:rPr>
                <w:rFonts w:ascii="Arial" w:hAnsi="Arial"/>
              </w:rPr>
              <w:t>-</w:t>
            </w:r>
            <w:r w:rsidRPr="00AC7600">
              <w:rPr>
                <w:rFonts w:ascii="Arial" w:hAnsi="Arial"/>
              </w:rPr>
              <w:t>ons – NT01 to NT07</w:t>
            </w:r>
          </w:p>
          <w:p w14:paraId="213DAF10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second worker – NT17 to NT23, NT27 to NT33, NT37 to NT43</w:t>
            </w:r>
          </w:p>
        </w:tc>
      </w:tr>
      <w:tr w:rsidR="00310AA8" w:rsidRPr="00AC7600" w14:paraId="266F788E" w14:textId="77777777" w:rsidTr="00F52E8E"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DDD4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Pr="00AC7600">
              <w:rPr>
                <w:rFonts w:ascii="Arial" w:hAnsi="Arial"/>
              </w:rPr>
              <w:t xml:space="preserve">tems </w:t>
            </w:r>
            <w:r>
              <w:rPr>
                <w:rFonts w:ascii="Arial" w:hAnsi="Arial"/>
              </w:rPr>
              <w:t xml:space="preserve">that will no longer be active </w:t>
            </w:r>
            <w:r w:rsidRPr="00AC7600">
              <w:rPr>
                <w:rFonts w:ascii="Arial" w:hAnsi="Arial"/>
              </w:rPr>
              <w:t>for care provided from 1 May 2021</w:t>
            </w:r>
          </w:p>
        </w:tc>
        <w:tc>
          <w:tcPr>
            <w:tcW w:w="7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F74B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  <w:color w:val="000000"/>
                <w:szCs w:val="24"/>
                <w:lang w:val="en-AU"/>
              </w:rPr>
            </w:pPr>
            <w:r w:rsidRPr="00AC7600">
              <w:rPr>
                <w:rFonts w:ascii="Arial" w:hAnsi="Arial"/>
                <w:color w:val="000000"/>
              </w:rPr>
              <w:t>Clinical core items – NL10, NL11, NL17</w:t>
            </w:r>
          </w:p>
          <w:p w14:paraId="797DB396" w14:textId="3A2857BF" w:rsidR="00310AA8" w:rsidRPr="00AC7600" w:rsidRDefault="00310AA8" w:rsidP="00310AA8">
            <w:pPr>
              <w:pStyle w:val="LogoHeader"/>
              <w:spacing w:line="288" w:lineRule="auto"/>
              <w:ind w:right="476"/>
              <w:rPr>
                <w:rFonts w:ascii="Arial" w:hAnsi="Arial" w:cs="Calibri"/>
                <w:color w:val="000000"/>
                <w:sz w:val="22"/>
              </w:rPr>
            </w:pPr>
            <w:r w:rsidRPr="00AC7600">
              <w:rPr>
                <w:rFonts w:ascii="Arial" w:hAnsi="Arial" w:cs="Calibri"/>
                <w:color w:val="000000"/>
                <w:sz w:val="22"/>
              </w:rPr>
              <w:t>Clinical care add</w:t>
            </w:r>
            <w:r w:rsidR="00810A74">
              <w:rPr>
                <w:rFonts w:ascii="Arial" w:hAnsi="Arial" w:cs="Calibri"/>
                <w:color w:val="000000"/>
                <w:sz w:val="22"/>
              </w:rPr>
              <w:t>-</w:t>
            </w:r>
            <w:r w:rsidRPr="00AC7600">
              <w:rPr>
                <w:rFonts w:ascii="Arial" w:hAnsi="Arial" w:cs="Calibri"/>
                <w:color w:val="000000"/>
                <w:sz w:val="22"/>
              </w:rPr>
              <w:t>ons – NS08, NS09, NS15</w:t>
            </w:r>
          </w:p>
          <w:p w14:paraId="665F7C4C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 w:cs="Calibri"/>
              </w:rPr>
            </w:pPr>
            <w:r w:rsidRPr="00AC7600">
              <w:rPr>
                <w:rFonts w:ascii="Arial" w:hAnsi="Arial"/>
              </w:rPr>
              <w:t>Clinical care second worker - NS23, NS24, NS30</w:t>
            </w:r>
          </w:p>
          <w:p w14:paraId="783064B8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core items – NP08, NP11, NP14, NP09, NP12, NP15, NP10, NP13, NP16</w:t>
            </w:r>
          </w:p>
          <w:p w14:paraId="7394E35F" w14:textId="38BB0192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add</w:t>
            </w:r>
            <w:r w:rsidR="00810A74">
              <w:rPr>
                <w:rFonts w:ascii="Arial" w:hAnsi="Arial"/>
              </w:rPr>
              <w:t>-</w:t>
            </w:r>
            <w:r w:rsidRPr="00AC7600">
              <w:rPr>
                <w:rFonts w:ascii="Arial" w:hAnsi="Arial"/>
              </w:rPr>
              <w:t>ons - NT08, NT11, NT14, NT09, NT12, NT15, NT10, NT13, NT16</w:t>
            </w:r>
          </w:p>
          <w:p w14:paraId="31E3AF85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second worker - NT24, NT25, NT26, NT34, NT35, NT36, NT44, NT45, NT46</w:t>
            </w:r>
          </w:p>
          <w:p w14:paraId="06D14C79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Three time a day (TDS) items - ND01 to ND14</w:t>
            </w:r>
          </w:p>
        </w:tc>
      </w:tr>
      <w:tr w:rsidR="00310AA8" w:rsidRPr="00AC7600" w14:paraId="016E1827" w14:textId="77777777" w:rsidTr="00F52E8E"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94B6" w14:textId="2E14EEB6" w:rsidR="00310AA8" w:rsidRPr="00AC7600" w:rsidRDefault="00E3448F" w:rsidP="00E3448F">
            <w:pPr>
              <w:spacing w:after="0"/>
              <w:ind w:right="476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310AA8" w:rsidRPr="00AC7600">
              <w:rPr>
                <w:rFonts w:ascii="Arial" w:hAnsi="Arial"/>
              </w:rPr>
              <w:t xml:space="preserve">tems </w:t>
            </w:r>
            <w:r>
              <w:rPr>
                <w:rFonts w:ascii="Arial" w:hAnsi="Arial"/>
              </w:rPr>
              <w:t xml:space="preserve">added </w:t>
            </w:r>
            <w:r w:rsidR="00310AA8" w:rsidRPr="00AC7600">
              <w:rPr>
                <w:rFonts w:ascii="Arial" w:hAnsi="Arial"/>
              </w:rPr>
              <w:t>for care provided from 1 May 2021</w:t>
            </w:r>
          </w:p>
        </w:tc>
        <w:tc>
          <w:tcPr>
            <w:tcW w:w="7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DBA5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Clinical care core schedule – NL19 to NL29</w:t>
            </w:r>
          </w:p>
          <w:p w14:paraId="12C7EE09" w14:textId="793806F1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Clinical care add</w:t>
            </w:r>
            <w:r w:rsidR="00810A74">
              <w:rPr>
                <w:rFonts w:ascii="Arial" w:hAnsi="Arial"/>
              </w:rPr>
              <w:t>-</w:t>
            </w:r>
            <w:r w:rsidRPr="00AC7600">
              <w:rPr>
                <w:rFonts w:ascii="Arial" w:hAnsi="Arial"/>
              </w:rPr>
              <w:t>ons – NS45 to NS55</w:t>
            </w:r>
          </w:p>
          <w:p w14:paraId="1B037F61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Clinical care second worker – NS56 to NS66</w:t>
            </w:r>
          </w:p>
          <w:p w14:paraId="703A67E1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core schedule – NP17 to NP31</w:t>
            </w:r>
          </w:p>
          <w:p w14:paraId="0BB0130F" w14:textId="756F41A3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add</w:t>
            </w:r>
            <w:r w:rsidR="00810A74">
              <w:rPr>
                <w:rFonts w:ascii="Arial" w:hAnsi="Arial"/>
              </w:rPr>
              <w:t>-</w:t>
            </w:r>
            <w:r w:rsidRPr="00AC7600">
              <w:rPr>
                <w:rFonts w:ascii="Arial" w:hAnsi="Arial"/>
              </w:rPr>
              <w:t>ons – NT61 to NT75</w:t>
            </w:r>
          </w:p>
          <w:p w14:paraId="7CD7E4B6" w14:textId="77777777" w:rsidR="00310AA8" w:rsidRPr="00AC7600" w:rsidRDefault="00310AA8" w:rsidP="00310AA8">
            <w:pPr>
              <w:spacing w:after="0"/>
              <w:ind w:right="476"/>
              <w:rPr>
                <w:rFonts w:ascii="Arial" w:hAnsi="Arial"/>
              </w:rPr>
            </w:pPr>
            <w:r w:rsidRPr="00AC7600">
              <w:rPr>
                <w:rFonts w:ascii="Arial" w:hAnsi="Arial"/>
              </w:rPr>
              <w:t>Personal care second worker – NT76 to NT90</w:t>
            </w:r>
          </w:p>
        </w:tc>
      </w:tr>
    </w:tbl>
    <w:p w14:paraId="0F554C08" w14:textId="6D46C69D" w:rsidR="009F364D" w:rsidRDefault="009F364D" w:rsidP="009F364D">
      <w:pPr>
        <w:spacing w:after="0"/>
        <w:ind w:right="476"/>
        <w:rPr>
          <w:rFonts w:ascii="Arial" w:hAnsi="Arial"/>
        </w:rPr>
      </w:pPr>
    </w:p>
    <w:p w14:paraId="4F3E62E1" w14:textId="1690A184" w:rsidR="009F364D" w:rsidRDefault="009F364D" w:rsidP="009F364D">
      <w:pPr>
        <w:spacing w:after="0"/>
        <w:ind w:right="476"/>
        <w:rPr>
          <w:rFonts w:ascii="Arial" w:hAnsi="Arial"/>
        </w:rPr>
      </w:pPr>
    </w:p>
    <w:p w14:paraId="45910B76" w14:textId="588ED25C" w:rsidR="009F364D" w:rsidRDefault="009F364D" w:rsidP="009F364D">
      <w:pPr>
        <w:spacing w:after="0"/>
        <w:ind w:right="476"/>
        <w:rPr>
          <w:rFonts w:ascii="Arial" w:hAnsi="Arial"/>
        </w:rPr>
      </w:pPr>
    </w:p>
    <w:p w14:paraId="7A28FE6B" w14:textId="031A9D97" w:rsidR="009F364D" w:rsidRDefault="009F364D" w:rsidP="009F364D">
      <w:pPr>
        <w:spacing w:after="0"/>
        <w:ind w:right="476"/>
        <w:rPr>
          <w:rFonts w:ascii="Arial" w:hAnsi="Arial"/>
        </w:rPr>
      </w:pPr>
    </w:p>
    <w:p w14:paraId="2F1C656D" w14:textId="729D7B0F" w:rsidR="009F364D" w:rsidRDefault="009F364D" w:rsidP="009F364D">
      <w:pPr>
        <w:spacing w:after="0"/>
        <w:ind w:right="476"/>
        <w:rPr>
          <w:rFonts w:ascii="Arial" w:hAnsi="Arial"/>
        </w:rPr>
      </w:pPr>
    </w:p>
    <w:p w14:paraId="1E86EA88" w14:textId="0CBD919A" w:rsidR="009F364D" w:rsidRDefault="009F364D" w:rsidP="009F364D">
      <w:pPr>
        <w:spacing w:after="0"/>
        <w:ind w:right="476"/>
        <w:rPr>
          <w:rFonts w:ascii="Arial" w:hAnsi="Arial"/>
        </w:rPr>
      </w:pPr>
    </w:p>
    <w:p w14:paraId="5F8770E6" w14:textId="27030361" w:rsidR="009F364D" w:rsidRDefault="009F364D" w:rsidP="009F364D">
      <w:pPr>
        <w:spacing w:after="0"/>
        <w:ind w:right="476"/>
        <w:rPr>
          <w:rFonts w:ascii="Arial" w:hAnsi="Arial"/>
        </w:rPr>
      </w:pPr>
    </w:p>
    <w:p w14:paraId="39A57894" w14:textId="6989119D" w:rsidR="009F364D" w:rsidRDefault="009F364D" w:rsidP="009F364D">
      <w:pPr>
        <w:spacing w:after="0"/>
        <w:ind w:right="476"/>
        <w:rPr>
          <w:rFonts w:ascii="Arial" w:hAnsi="Arial"/>
        </w:rPr>
      </w:pPr>
    </w:p>
    <w:p w14:paraId="4A75985D" w14:textId="0E05AC0C" w:rsidR="009F364D" w:rsidRDefault="009F364D" w:rsidP="009F364D">
      <w:pPr>
        <w:spacing w:after="0"/>
        <w:ind w:right="476"/>
        <w:rPr>
          <w:rFonts w:ascii="Arial" w:hAnsi="Arial"/>
        </w:rPr>
      </w:pPr>
    </w:p>
    <w:p w14:paraId="0AA60A00" w14:textId="7C470282" w:rsidR="009F364D" w:rsidRDefault="009F364D" w:rsidP="009F364D">
      <w:pPr>
        <w:spacing w:after="0"/>
        <w:ind w:right="476"/>
        <w:rPr>
          <w:rFonts w:ascii="Arial" w:hAnsi="Arial"/>
        </w:rPr>
      </w:pPr>
    </w:p>
    <w:p w14:paraId="4B381FD9" w14:textId="64C13FCB" w:rsidR="009F364D" w:rsidRDefault="009F364D" w:rsidP="009F364D">
      <w:pPr>
        <w:spacing w:after="0"/>
        <w:ind w:right="476"/>
        <w:rPr>
          <w:rFonts w:ascii="Arial" w:hAnsi="Arial"/>
        </w:rPr>
      </w:pPr>
    </w:p>
    <w:p w14:paraId="64B9394B" w14:textId="4250E216" w:rsidR="009F364D" w:rsidRDefault="009F364D" w:rsidP="009F364D">
      <w:pPr>
        <w:spacing w:after="0"/>
        <w:ind w:right="476"/>
        <w:rPr>
          <w:rFonts w:ascii="Arial" w:hAnsi="Arial"/>
        </w:rPr>
      </w:pPr>
    </w:p>
    <w:p w14:paraId="33FE2F46" w14:textId="2F76175F" w:rsidR="009F364D" w:rsidRDefault="009F364D" w:rsidP="009F364D">
      <w:pPr>
        <w:spacing w:after="0"/>
        <w:ind w:right="476"/>
        <w:rPr>
          <w:rFonts w:ascii="Arial" w:hAnsi="Arial"/>
        </w:rPr>
      </w:pPr>
    </w:p>
    <w:p w14:paraId="606B6104" w14:textId="77777777" w:rsidR="009F364D" w:rsidRPr="009F364D" w:rsidRDefault="009F364D" w:rsidP="009F364D">
      <w:pPr>
        <w:spacing w:after="0"/>
        <w:ind w:right="476"/>
        <w:rPr>
          <w:rFonts w:ascii="Arial" w:hAnsi="Arial"/>
        </w:rPr>
      </w:pPr>
    </w:p>
    <w:p w14:paraId="259A4207" w14:textId="3E9ECE81" w:rsidR="00253F31" w:rsidRDefault="00253F31" w:rsidP="00B43391">
      <w:pPr>
        <w:spacing w:after="0"/>
        <w:ind w:left="426" w:right="476"/>
        <w:rPr>
          <w:rFonts w:ascii="Arial" w:hAnsi="Arial"/>
        </w:rPr>
      </w:pPr>
    </w:p>
    <w:p w14:paraId="6D64F830" w14:textId="77777777" w:rsidR="00253F31" w:rsidRPr="00AC7600" w:rsidRDefault="00253F31" w:rsidP="00B43391">
      <w:pPr>
        <w:spacing w:after="0"/>
        <w:ind w:left="426" w:right="476"/>
        <w:rPr>
          <w:rFonts w:ascii="Arial" w:hAnsi="Arial"/>
        </w:rPr>
      </w:pPr>
    </w:p>
    <w:p w14:paraId="2F16259A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0DFC8681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74B46244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2019A2E1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0C61CFF9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5A7BBD8E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718E2946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4D9444BF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641B4FC8" w14:textId="74854E15" w:rsidR="00310AA8" w:rsidRDefault="00310AA8" w:rsidP="00310AA8">
      <w:pPr>
        <w:spacing w:after="0"/>
        <w:ind w:right="476"/>
        <w:rPr>
          <w:rFonts w:ascii="Arial" w:hAnsi="Arial"/>
          <w:u w:val="single"/>
        </w:rPr>
      </w:pPr>
    </w:p>
    <w:p w14:paraId="10DA2A7F" w14:textId="5150E84E" w:rsidR="00B83349" w:rsidRPr="00310AA8" w:rsidRDefault="00B83349" w:rsidP="00310AA8">
      <w:pPr>
        <w:spacing w:after="0"/>
        <w:ind w:left="426" w:right="476"/>
        <w:rPr>
          <w:rFonts w:ascii="Arial" w:hAnsi="Arial"/>
          <w:u w:val="single"/>
        </w:rPr>
      </w:pPr>
      <w:r w:rsidRPr="00AC7600">
        <w:rPr>
          <w:rFonts w:ascii="Arial" w:hAnsi="Arial"/>
          <w:u w:val="single"/>
        </w:rPr>
        <w:t xml:space="preserve">Claiming for services delivered </w:t>
      </w:r>
      <w:r w:rsidR="007541B9">
        <w:rPr>
          <w:rFonts w:ascii="Arial" w:hAnsi="Arial"/>
          <w:u w:val="single"/>
        </w:rPr>
        <w:t xml:space="preserve">in claim periods commencing </w:t>
      </w:r>
      <w:r w:rsidRPr="00AC7600">
        <w:rPr>
          <w:rFonts w:ascii="Arial" w:hAnsi="Arial"/>
          <w:u w:val="single"/>
        </w:rPr>
        <w:t>prior to 1 May 2021</w:t>
      </w:r>
    </w:p>
    <w:p w14:paraId="1C9CF6B9" w14:textId="59E9650D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  <w:r w:rsidRPr="00AC7600">
        <w:rPr>
          <w:rFonts w:ascii="Arial" w:hAnsi="Arial"/>
        </w:rPr>
        <w:t>A</w:t>
      </w:r>
      <w:r w:rsidR="00105D05">
        <w:rPr>
          <w:rFonts w:ascii="Arial" w:hAnsi="Arial"/>
        </w:rPr>
        <w:t xml:space="preserve">s specified in the Notes for </w:t>
      </w:r>
      <w:r w:rsidR="00F52E8E">
        <w:rPr>
          <w:rFonts w:ascii="Arial" w:hAnsi="Arial"/>
        </w:rPr>
        <w:t>C</w:t>
      </w:r>
      <w:r w:rsidR="00105D05">
        <w:rPr>
          <w:rFonts w:ascii="Arial" w:hAnsi="Arial"/>
        </w:rPr>
        <w:t xml:space="preserve">ommunity </w:t>
      </w:r>
      <w:r w:rsidR="00F52E8E">
        <w:rPr>
          <w:rFonts w:ascii="Arial" w:hAnsi="Arial"/>
        </w:rPr>
        <w:t>N</w:t>
      </w:r>
      <w:r w:rsidR="00105D05">
        <w:rPr>
          <w:rFonts w:ascii="Arial" w:hAnsi="Arial"/>
        </w:rPr>
        <w:t xml:space="preserve">ursing </w:t>
      </w:r>
      <w:r w:rsidR="00F52E8E">
        <w:rPr>
          <w:rFonts w:ascii="Arial" w:hAnsi="Arial"/>
        </w:rPr>
        <w:t>P</w:t>
      </w:r>
      <w:r w:rsidR="00105D05">
        <w:rPr>
          <w:rFonts w:ascii="Arial" w:hAnsi="Arial"/>
        </w:rPr>
        <w:t>roviders, a</w:t>
      </w:r>
      <w:r w:rsidRPr="00AC7600">
        <w:rPr>
          <w:rFonts w:ascii="Arial" w:hAnsi="Arial"/>
        </w:rPr>
        <w:t>ll claims for payment must be submitte</w:t>
      </w:r>
      <w:r w:rsidR="00105D05">
        <w:rPr>
          <w:rFonts w:ascii="Arial" w:hAnsi="Arial"/>
        </w:rPr>
        <w:t xml:space="preserve">d to Medicare Australia </w:t>
      </w:r>
      <w:r w:rsidR="0026019C">
        <w:rPr>
          <w:rFonts w:ascii="Arial" w:hAnsi="Arial"/>
        </w:rPr>
        <w:t xml:space="preserve">for payment </w:t>
      </w:r>
      <w:r w:rsidR="00105D05">
        <w:rPr>
          <w:rFonts w:ascii="Arial" w:hAnsi="Arial"/>
        </w:rPr>
        <w:t>within six months of the first day of a claim period</w:t>
      </w:r>
      <w:r w:rsidRPr="00AC7600">
        <w:rPr>
          <w:rFonts w:ascii="Arial" w:hAnsi="Arial"/>
        </w:rPr>
        <w:t>. Consistent with this requirement, providers have unt</w:t>
      </w:r>
      <w:r w:rsidR="00105D05">
        <w:rPr>
          <w:rFonts w:ascii="Arial" w:hAnsi="Arial"/>
        </w:rPr>
        <w:t>il 31 October 2021 to submit claims for services provided during claim</w:t>
      </w:r>
      <w:r w:rsidRPr="00AC7600">
        <w:rPr>
          <w:rFonts w:ascii="Arial" w:hAnsi="Arial"/>
        </w:rPr>
        <w:t xml:space="preserve"> period</w:t>
      </w:r>
      <w:r w:rsidR="00105D05">
        <w:rPr>
          <w:rFonts w:ascii="Arial" w:hAnsi="Arial"/>
        </w:rPr>
        <w:t>s commencing up to and including 30 April 2021.</w:t>
      </w:r>
    </w:p>
    <w:p w14:paraId="4CB1CD9B" w14:textId="77777777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</w:p>
    <w:p w14:paraId="5C298833" w14:textId="77777777" w:rsidR="00B83349" w:rsidRPr="00D53E03" w:rsidRDefault="00B83349" w:rsidP="00B43391">
      <w:pPr>
        <w:spacing w:after="0"/>
        <w:ind w:left="426" w:right="476"/>
        <w:rPr>
          <w:rFonts w:ascii="Arial" w:hAnsi="Arial"/>
          <w:bCs/>
          <w:u w:val="single"/>
        </w:rPr>
      </w:pPr>
      <w:r w:rsidRPr="00D53E03">
        <w:rPr>
          <w:rFonts w:ascii="Arial" w:hAnsi="Arial"/>
          <w:bCs/>
          <w:u w:val="single"/>
        </w:rPr>
        <w:t>Questions</w:t>
      </w:r>
    </w:p>
    <w:p w14:paraId="405B0503" w14:textId="10FCE864" w:rsidR="00B83349" w:rsidRPr="00AC7600" w:rsidRDefault="00B83349" w:rsidP="00B43391">
      <w:pPr>
        <w:spacing w:after="0"/>
        <w:ind w:left="426" w:right="476"/>
        <w:rPr>
          <w:rFonts w:ascii="Arial" w:hAnsi="Arial"/>
        </w:rPr>
      </w:pPr>
      <w:r w:rsidRPr="00AC7600">
        <w:rPr>
          <w:rFonts w:ascii="Arial" w:hAnsi="Arial"/>
        </w:rPr>
        <w:t>If you have any questions about these arrangements please contact us at:</w:t>
      </w:r>
      <w:r w:rsidR="00105D05">
        <w:rPr>
          <w:rFonts w:ascii="Arial" w:hAnsi="Arial"/>
        </w:rPr>
        <w:t xml:space="preserve"> </w:t>
      </w:r>
      <w:hyperlink r:id="rId9" w:history="1">
        <w:r w:rsidR="00105D05" w:rsidRPr="00873C81">
          <w:rPr>
            <w:rStyle w:val="Hyperlink"/>
            <w:rFonts w:ascii="Arial" w:hAnsi="Arial"/>
          </w:rPr>
          <w:t>nursing@dva.gov.au</w:t>
        </w:r>
      </w:hyperlink>
    </w:p>
    <w:p w14:paraId="76B0F2B5" w14:textId="253B48F3" w:rsidR="00FE150E" w:rsidRPr="00AC7600" w:rsidRDefault="00FE150E" w:rsidP="00B43391">
      <w:pPr>
        <w:spacing w:after="0"/>
        <w:ind w:left="426" w:right="476"/>
        <w:rPr>
          <w:rFonts w:ascii="Arial" w:hAnsi="Arial"/>
        </w:rPr>
      </w:pPr>
    </w:p>
    <w:p w14:paraId="060001B1" w14:textId="3CA208C8" w:rsidR="00D53E03" w:rsidRPr="00D53E03" w:rsidRDefault="00D53E03" w:rsidP="00B43391">
      <w:pPr>
        <w:spacing w:after="0"/>
        <w:ind w:left="426" w:right="476"/>
        <w:jc w:val="both"/>
        <w:rPr>
          <w:rFonts w:ascii="Arial" w:hAnsi="Arial" w:cstheme="minorHAnsi"/>
          <w:b/>
          <w:lang w:val="en-AU"/>
        </w:rPr>
      </w:pPr>
      <w:r w:rsidRPr="00D53E03">
        <w:rPr>
          <w:rFonts w:ascii="Arial" w:hAnsi="Arial" w:cstheme="minorHAnsi"/>
          <w:b/>
          <w:lang w:val="en-AU"/>
        </w:rPr>
        <w:t>Extension of COVID-19 Pandemic Provisions</w:t>
      </w:r>
    </w:p>
    <w:p w14:paraId="746D65F8" w14:textId="5CD3B06A" w:rsidR="00D53E03" w:rsidRPr="00D62CD2" w:rsidRDefault="00D53E03" w:rsidP="00D53E0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rPr>
          <w:rFonts w:cstheme="minorHAnsi"/>
          <w:lang w:val="en-AU"/>
        </w:rPr>
      </w:pPr>
      <w:r>
        <w:rPr>
          <w:rFonts w:cstheme="minorHAnsi"/>
          <w:lang w:val="en-AU"/>
        </w:rPr>
        <w:t>Temporary a</w:t>
      </w:r>
      <w:r w:rsidRPr="00D62CD2">
        <w:rPr>
          <w:rFonts w:cstheme="minorHAnsi"/>
          <w:lang w:val="en-AU"/>
        </w:rPr>
        <w:t xml:space="preserve">rrangements </w:t>
      </w:r>
      <w:r>
        <w:rPr>
          <w:rFonts w:cstheme="minorHAnsi"/>
          <w:lang w:val="en-AU"/>
        </w:rPr>
        <w:t>to assist with</w:t>
      </w:r>
      <w:r w:rsidRPr="00D62CD2">
        <w:rPr>
          <w:rFonts w:cstheme="minorHAnsi"/>
          <w:lang w:val="en-AU"/>
        </w:rPr>
        <w:t xml:space="preserve"> the delivery of </w:t>
      </w:r>
      <w:r>
        <w:rPr>
          <w:rFonts w:cstheme="minorHAnsi"/>
          <w:lang w:val="en-AU"/>
        </w:rPr>
        <w:t>CN</w:t>
      </w:r>
      <w:r w:rsidRPr="00D62CD2">
        <w:rPr>
          <w:rFonts w:cstheme="minorHAnsi"/>
          <w:lang w:val="en-AU"/>
        </w:rPr>
        <w:t xml:space="preserve"> services during the COVID-19 </w:t>
      </w:r>
      <w:r>
        <w:rPr>
          <w:rFonts w:cstheme="minorHAnsi"/>
          <w:lang w:val="en-AU"/>
        </w:rPr>
        <w:t>pandemic were due to cease on 31 March 2021</w:t>
      </w:r>
      <w:r w:rsidRPr="00D62CD2">
        <w:rPr>
          <w:rFonts w:cstheme="minorHAnsi"/>
          <w:lang w:val="en-AU"/>
        </w:rPr>
        <w:t>.</w:t>
      </w:r>
    </w:p>
    <w:p w14:paraId="23EDC4BF" w14:textId="401759C5" w:rsidR="00D53E03" w:rsidRDefault="00D53E03" w:rsidP="00D53E0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rPr>
          <w:rFonts w:cstheme="minorHAnsi"/>
          <w:lang w:val="en-AU"/>
        </w:rPr>
      </w:pPr>
      <w:r>
        <w:rPr>
          <w:rFonts w:cstheme="minorHAnsi"/>
          <w:lang w:val="en-AU"/>
        </w:rPr>
        <w:t>On 14 March 2021</w:t>
      </w:r>
      <w:r w:rsidRPr="00D62CD2">
        <w:rPr>
          <w:rFonts w:cstheme="minorHAnsi"/>
          <w:lang w:val="en-AU"/>
        </w:rPr>
        <w:t xml:space="preserve"> the Prime Minister, the Hon Scott Morrison MP, announced the Government will extend the temporary tel</w:t>
      </w:r>
      <w:r w:rsidR="00CD4EFC">
        <w:rPr>
          <w:rFonts w:cstheme="minorHAnsi"/>
          <w:lang w:val="en-AU"/>
        </w:rPr>
        <w:t>ehealth arrangements to 30 June</w:t>
      </w:r>
      <w:r w:rsidRPr="00D62CD2">
        <w:rPr>
          <w:rFonts w:cstheme="minorHAnsi"/>
          <w:lang w:val="en-AU"/>
        </w:rPr>
        <w:t xml:space="preserve"> 2021 to continue to provide support during the pandemic. In line with this decision, DVA has also extended its </w:t>
      </w:r>
      <w:r>
        <w:rPr>
          <w:rFonts w:cstheme="minorHAnsi"/>
          <w:lang w:val="en-AU"/>
        </w:rPr>
        <w:t>CN</w:t>
      </w:r>
      <w:r w:rsidR="00CD4EFC">
        <w:rPr>
          <w:rFonts w:cstheme="minorHAnsi"/>
          <w:lang w:val="en-AU"/>
        </w:rPr>
        <w:t xml:space="preserve"> arrangements to 30 June</w:t>
      </w:r>
      <w:bookmarkStart w:id="0" w:name="_GoBack"/>
      <w:bookmarkEnd w:id="0"/>
      <w:r w:rsidRPr="00D62CD2">
        <w:rPr>
          <w:rFonts w:cstheme="minorHAnsi"/>
          <w:lang w:val="en-AU"/>
        </w:rPr>
        <w:t xml:space="preserve"> 2021.</w:t>
      </w:r>
    </w:p>
    <w:p w14:paraId="73A18B5B" w14:textId="77777777" w:rsidR="00D53E03" w:rsidRDefault="00D53E03" w:rsidP="00D53E0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rPr>
          <w:rFonts w:cstheme="minorHAnsi"/>
          <w:lang w:val="en-AU"/>
        </w:rPr>
      </w:pPr>
      <w:r>
        <w:rPr>
          <w:rFonts w:cstheme="minorHAnsi"/>
          <w:lang w:val="en-AU"/>
        </w:rPr>
        <w:t>T</w:t>
      </w:r>
      <w:r w:rsidRPr="004C75C6">
        <w:rPr>
          <w:rFonts w:cstheme="minorHAnsi"/>
          <w:lang w:val="en-AU"/>
        </w:rPr>
        <w:t>he Notes for Community Nursing Providers (the Notes)</w:t>
      </w:r>
      <w:r>
        <w:rPr>
          <w:rFonts w:cstheme="minorHAnsi"/>
          <w:lang w:val="en-AU"/>
        </w:rPr>
        <w:t xml:space="preserve"> have been updated accordingly to reflect this extension and will be made available </w:t>
      </w:r>
      <w:r w:rsidRPr="00D62CD2">
        <w:rPr>
          <w:rFonts w:cstheme="minorHAnsi"/>
          <w:lang w:val="en-AU"/>
        </w:rPr>
        <w:t>on the DVA website at</w:t>
      </w:r>
      <w:r>
        <w:rPr>
          <w:rFonts w:cstheme="minorHAnsi"/>
          <w:lang w:val="en-AU"/>
        </w:rPr>
        <w:t xml:space="preserve">: </w:t>
      </w:r>
      <w:hyperlink r:id="rId10" w:history="1">
        <w:r w:rsidRPr="00991E0A">
          <w:rPr>
            <w:rStyle w:val="Hyperlink"/>
            <w:rFonts w:cstheme="minorHAnsi"/>
            <w:lang w:val="en-AU"/>
          </w:rPr>
          <w:t>https://www.dva.gov.au/providers/health-programs-and-services-our-clients/community-nursing-services-and-providers-0</w:t>
        </w:r>
      </w:hyperlink>
    </w:p>
    <w:p w14:paraId="18BA388B" w14:textId="77777777" w:rsidR="008A2956" w:rsidRDefault="008A2956" w:rsidP="00D53E0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rPr>
          <w:rFonts w:cstheme="minorHAnsi"/>
          <w:lang w:val="en-AU"/>
        </w:rPr>
      </w:pPr>
    </w:p>
    <w:p w14:paraId="176C1633" w14:textId="507AF949" w:rsidR="00D53E03" w:rsidRDefault="00D53E03" w:rsidP="00D53E03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476"/>
        <w:rPr>
          <w:rFonts w:cstheme="minorHAnsi"/>
          <w:lang w:val="en-AU"/>
        </w:rPr>
      </w:pPr>
      <w:r w:rsidRPr="00D62CD2">
        <w:rPr>
          <w:rFonts w:cstheme="minorHAnsi"/>
          <w:lang w:val="en-AU"/>
        </w:rPr>
        <w:t xml:space="preserve">Updates </w:t>
      </w:r>
      <w:r>
        <w:rPr>
          <w:rFonts w:cstheme="minorHAnsi"/>
          <w:lang w:val="en-AU"/>
        </w:rPr>
        <w:t>to</w:t>
      </w:r>
      <w:r w:rsidRPr="00D62CD2">
        <w:rPr>
          <w:rFonts w:cstheme="minorHAnsi"/>
          <w:lang w:val="en-AU"/>
        </w:rPr>
        <w:t xml:space="preserve"> DVA’s COVID-19 arrangements for providers will continue to be communicated in </w:t>
      </w:r>
      <w:r>
        <w:rPr>
          <w:rFonts w:cstheme="minorHAnsi"/>
          <w:lang w:val="en-AU"/>
        </w:rPr>
        <w:t>CN</w:t>
      </w:r>
      <w:r w:rsidRPr="00D62CD2">
        <w:rPr>
          <w:rFonts w:cstheme="minorHAnsi"/>
          <w:lang w:val="en-AU"/>
        </w:rPr>
        <w:t xml:space="preserve"> Bulletins </w:t>
      </w:r>
      <w:r>
        <w:rPr>
          <w:rFonts w:cstheme="minorHAnsi"/>
          <w:lang w:val="en-AU"/>
        </w:rPr>
        <w:t xml:space="preserve">and will be available </w:t>
      </w:r>
      <w:r w:rsidRPr="00D62CD2">
        <w:rPr>
          <w:rFonts w:cstheme="minorHAnsi"/>
          <w:lang w:val="en-AU"/>
        </w:rPr>
        <w:t xml:space="preserve">on the DVA website at: </w:t>
      </w:r>
      <w:hyperlink r:id="rId11" w:history="1">
        <w:r w:rsidRPr="00991E0A">
          <w:rPr>
            <w:rStyle w:val="Hyperlink"/>
            <w:rFonts w:cstheme="minorHAnsi"/>
            <w:lang w:val="en-AU"/>
          </w:rPr>
          <w:t>https://www.dva.gov.au/providers/health-programs-and-services-our-clients/community-nursing-services-and-providers-3</w:t>
        </w:r>
      </w:hyperlink>
    </w:p>
    <w:p w14:paraId="7F95D215" w14:textId="3751B188" w:rsidR="00D53E03" w:rsidRDefault="00D53E03" w:rsidP="008A2956">
      <w:pPr>
        <w:spacing w:after="0"/>
        <w:ind w:right="476"/>
        <w:jc w:val="both"/>
        <w:rPr>
          <w:rFonts w:ascii="Arial" w:hAnsi="Arial" w:cstheme="minorHAnsi"/>
          <w:lang w:val="en-AU"/>
        </w:rPr>
      </w:pPr>
    </w:p>
    <w:p w14:paraId="49CAE07B" w14:textId="77777777" w:rsidR="00D515F8" w:rsidRPr="00D515F8" w:rsidRDefault="00D515F8" w:rsidP="00D515F8">
      <w:pPr>
        <w:spacing w:after="0"/>
        <w:ind w:left="426" w:right="476"/>
        <w:jc w:val="both"/>
        <w:rPr>
          <w:rFonts w:ascii="Arial" w:hAnsi="Arial"/>
          <w:b/>
          <w:bCs/>
        </w:rPr>
      </w:pPr>
      <w:r w:rsidRPr="00D515F8">
        <w:rPr>
          <w:rFonts w:ascii="Arial" w:hAnsi="Arial"/>
          <w:b/>
          <w:bCs/>
        </w:rPr>
        <w:t>Attachments</w:t>
      </w:r>
    </w:p>
    <w:p w14:paraId="07129A5D" w14:textId="77777777" w:rsidR="00D515F8" w:rsidRPr="00AC7600" w:rsidRDefault="00D515F8" w:rsidP="00D515F8">
      <w:pPr>
        <w:spacing w:after="0"/>
        <w:ind w:left="426" w:right="476"/>
        <w:jc w:val="both"/>
        <w:rPr>
          <w:rFonts w:ascii="Arial" w:hAnsi="Arial" w:cstheme="minorHAnsi"/>
          <w:lang w:val="en-AU"/>
        </w:rPr>
      </w:pPr>
      <w:r w:rsidRPr="00AC7600">
        <w:rPr>
          <w:rFonts w:ascii="Arial" w:hAnsi="Arial" w:cstheme="minorHAnsi"/>
          <w:lang w:val="en-AU"/>
        </w:rPr>
        <w:t>Included with this bulletin is an updated Schedule of Fees</w:t>
      </w:r>
      <w:r>
        <w:rPr>
          <w:rFonts w:ascii="Arial" w:hAnsi="Arial" w:cstheme="minorHAnsi"/>
          <w:lang w:val="en-AU"/>
        </w:rPr>
        <w:t>, Frequently Asked Questions (FAQs) about the changes, and Notes for Community Nursing Providers effective 1 April 2021</w:t>
      </w:r>
      <w:r w:rsidRPr="00AC7600">
        <w:rPr>
          <w:rFonts w:ascii="Arial" w:hAnsi="Arial" w:cstheme="minorHAnsi"/>
          <w:lang w:val="en-AU"/>
        </w:rPr>
        <w:t>.</w:t>
      </w:r>
    </w:p>
    <w:p w14:paraId="6FB8A6CB" w14:textId="77777777" w:rsidR="00D515F8" w:rsidRDefault="00D515F8" w:rsidP="00D515F8">
      <w:pPr>
        <w:spacing w:after="0"/>
        <w:ind w:left="426" w:right="476"/>
        <w:jc w:val="both"/>
        <w:rPr>
          <w:rFonts w:ascii="Arial" w:hAnsi="Arial" w:cstheme="minorHAnsi"/>
          <w:lang w:val="en-AU"/>
        </w:rPr>
      </w:pPr>
    </w:p>
    <w:p w14:paraId="592D34A9" w14:textId="2222A774" w:rsidR="00105D05" w:rsidRPr="00105D05" w:rsidRDefault="00105D05" w:rsidP="00B43391">
      <w:pPr>
        <w:spacing w:after="0"/>
        <w:ind w:left="426" w:right="476"/>
        <w:jc w:val="both"/>
        <w:rPr>
          <w:rFonts w:ascii="Arial" w:hAnsi="Arial" w:cstheme="minorHAnsi"/>
          <w:b/>
          <w:lang w:val="en-AU"/>
        </w:rPr>
      </w:pPr>
      <w:r w:rsidRPr="00105D05">
        <w:rPr>
          <w:rFonts w:ascii="Arial" w:hAnsi="Arial" w:cstheme="minorHAnsi"/>
          <w:b/>
          <w:lang w:val="en-AU"/>
        </w:rPr>
        <w:t>Updates to Contact Details</w:t>
      </w:r>
    </w:p>
    <w:p w14:paraId="4466219E" w14:textId="519EFDBB" w:rsidR="00C659E7" w:rsidRPr="00AC7600" w:rsidRDefault="00C659E7" w:rsidP="00B43391">
      <w:pPr>
        <w:spacing w:after="0"/>
        <w:ind w:left="426" w:right="476"/>
        <w:jc w:val="both"/>
        <w:rPr>
          <w:rFonts w:ascii="Arial" w:hAnsi="Arial" w:cstheme="minorHAnsi"/>
          <w:lang w:val="en-AU"/>
        </w:rPr>
      </w:pPr>
      <w:r w:rsidRPr="00AC7600">
        <w:rPr>
          <w:rFonts w:ascii="Arial" w:hAnsi="Arial" w:cstheme="minorHAnsi"/>
          <w:lang w:val="en-AU"/>
        </w:rPr>
        <w:t xml:space="preserve">If you have any changes to contact or other </w:t>
      </w:r>
      <w:r w:rsidR="00A477BC">
        <w:rPr>
          <w:rFonts w:ascii="Arial" w:hAnsi="Arial" w:cstheme="minorHAnsi"/>
          <w:lang w:val="en-AU"/>
        </w:rPr>
        <w:t xml:space="preserve">provider </w:t>
      </w:r>
      <w:r w:rsidRPr="00AC7600">
        <w:rPr>
          <w:rFonts w:ascii="Arial" w:hAnsi="Arial" w:cstheme="minorHAnsi"/>
          <w:lang w:val="en-AU"/>
        </w:rPr>
        <w:t>details, please contact the Community Nursing Contracts team via</w:t>
      </w:r>
      <w:r w:rsidR="00131003" w:rsidRPr="00AC7600">
        <w:rPr>
          <w:rFonts w:ascii="Arial" w:hAnsi="Arial" w:cstheme="minorHAnsi"/>
          <w:lang w:val="en-AU"/>
        </w:rPr>
        <w:t xml:space="preserve"> email at:</w:t>
      </w:r>
      <w:r w:rsidRPr="00AC7600">
        <w:rPr>
          <w:rFonts w:ascii="Arial" w:hAnsi="Arial" w:cstheme="minorHAnsi"/>
          <w:lang w:val="en-AU"/>
        </w:rPr>
        <w:t xml:space="preserve"> </w:t>
      </w:r>
      <w:hyperlink r:id="rId12" w:history="1">
        <w:r w:rsidRPr="00AC7600">
          <w:rPr>
            <w:rStyle w:val="Hyperlink"/>
            <w:rFonts w:ascii="Arial" w:hAnsi="Arial" w:cstheme="minorHAnsi"/>
            <w:lang w:val="en-AU"/>
          </w:rPr>
          <w:t>Community.Nursing.Contracts@dva.gov.au</w:t>
        </w:r>
      </w:hyperlink>
    </w:p>
    <w:sectPr w:rsidR="00C659E7" w:rsidRPr="00AC7600" w:rsidSect="007607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51" w:right="851" w:bottom="851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821BD" w14:textId="77777777" w:rsidR="00090D64" w:rsidRDefault="00090D64">
      <w:pPr>
        <w:spacing w:after="0" w:line="240" w:lineRule="auto"/>
      </w:pPr>
      <w:r>
        <w:separator/>
      </w:r>
    </w:p>
  </w:endnote>
  <w:endnote w:type="continuationSeparator" w:id="0">
    <w:p w14:paraId="4E8F793C" w14:textId="77777777" w:rsidR="00090D64" w:rsidRDefault="0009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lack">
    <w:altName w:val="DINOT-Black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1D5A5" w14:textId="77777777" w:rsidR="00456D7C" w:rsidRDefault="00456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20"/>
      </w:rPr>
      <w:id w:val="342829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3CC63" w14:textId="30E76C41" w:rsidR="00812A6C" w:rsidRPr="00812A6C" w:rsidRDefault="00812A6C">
        <w:pPr>
          <w:pStyle w:val="Footer"/>
          <w:jc w:val="right"/>
          <w:rPr>
            <w:sz w:val="16"/>
            <w:szCs w:val="20"/>
          </w:rPr>
        </w:pPr>
        <w:r w:rsidRPr="00812A6C">
          <w:rPr>
            <w:sz w:val="16"/>
            <w:szCs w:val="20"/>
          </w:rPr>
          <w:fldChar w:fldCharType="begin"/>
        </w:r>
        <w:r w:rsidRPr="00812A6C">
          <w:rPr>
            <w:sz w:val="16"/>
            <w:szCs w:val="20"/>
          </w:rPr>
          <w:instrText xml:space="preserve"> PAGE   \* MERGEFORMAT </w:instrText>
        </w:r>
        <w:r w:rsidRPr="00812A6C">
          <w:rPr>
            <w:sz w:val="16"/>
            <w:szCs w:val="20"/>
          </w:rPr>
          <w:fldChar w:fldCharType="separate"/>
        </w:r>
        <w:r w:rsidR="00B66A29">
          <w:rPr>
            <w:noProof/>
            <w:sz w:val="16"/>
            <w:szCs w:val="20"/>
          </w:rPr>
          <w:t>4</w:t>
        </w:r>
        <w:r w:rsidRPr="00812A6C">
          <w:rPr>
            <w:noProof/>
            <w:sz w:val="16"/>
            <w:szCs w:val="20"/>
          </w:rPr>
          <w:fldChar w:fldCharType="end"/>
        </w:r>
      </w:p>
    </w:sdtContent>
  </w:sdt>
  <w:p w14:paraId="3BE64178" w14:textId="387C68F8" w:rsidR="00F942F7" w:rsidRDefault="00F942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674BA" w14:textId="77777777" w:rsidR="00456D7C" w:rsidRDefault="00456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0BAC" w14:textId="77777777" w:rsidR="00090D64" w:rsidRDefault="00090D64">
      <w:pPr>
        <w:spacing w:after="0" w:line="240" w:lineRule="auto"/>
      </w:pPr>
      <w:r>
        <w:separator/>
      </w:r>
    </w:p>
  </w:footnote>
  <w:footnote w:type="continuationSeparator" w:id="0">
    <w:p w14:paraId="531090D6" w14:textId="77777777" w:rsidR="00090D64" w:rsidRDefault="0009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DA6C" w14:textId="77777777" w:rsidR="00456D7C" w:rsidRDefault="00456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1BB0" w14:textId="77777777" w:rsidR="00456D7C" w:rsidRDefault="00456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5D6C2" w14:textId="77777777" w:rsidR="00DB2A51" w:rsidRDefault="00DB2A5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FD3EA5" wp14:editId="5E590540">
              <wp:simplePos x="0" y="0"/>
              <wp:positionH relativeFrom="margin">
                <wp:posOffset>7906385</wp:posOffset>
              </wp:positionH>
              <wp:positionV relativeFrom="margin">
                <wp:posOffset>-200025</wp:posOffset>
              </wp:positionV>
              <wp:extent cx="128270" cy="6297930"/>
              <wp:effectExtent l="0" t="0" r="0" b="0"/>
              <wp:wrapNone/>
              <wp:docPr id="1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0D08AAF1" id="Rectangle 8" o:spid="_x0000_s1026" style="position:absolute;margin-left:622.55pt;margin-top:-15.75pt;width:10.1pt;height:495.9pt;z-index:251659776;visibility:visible;mso-wrap-style:square;mso-width-percent:20;mso-height-percent:725;mso-wrap-distance-left:9pt;mso-wrap-distance-top:0;mso-wrap-distance-right:9pt;mso-wrap-distance-bottom:0;mso-position-horizontal:absolute;mso-position-horizontal-relative:margin;mso-position-vertical:absolute;mso-position-vertical-relative:margin;mso-width-percent:20;mso-height-percent:7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" fillcolor="black" stroked="f">
              <w10:wrap anchorx="margin" anchory="margin"/>
            </v:rect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2B42C4" wp14:editId="4EAD1CDD">
              <wp:simplePos x="0" y="0"/>
              <wp:positionH relativeFrom="margin">
                <wp:align>center</wp:align>
              </wp:positionH>
              <wp:positionV relativeFrom="margin">
                <wp:posOffset>-247650</wp:posOffset>
              </wp:positionV>
              <wp:extent cx="6848475" cy="9114790"/>
              <wp:effectExtent l="0" t="0" r="20320" b="2286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FDBE8E3" id="Rectangle 4" o:spid="_x0000_s1026" style="position:absolute;margin-left:0;margin-top:-19.5pt;width:539.25pt;height:717.7pt;z-index:251658752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absolute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" fill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BDA"/>
    <w:multiLevelType w:val="hybridMultilevel"/>
    <w:tmpl w:val="9E384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4AC2"/>
    <w:multiLevelType w:val="hybridMultilevel"/>
    <w:tmpl w:val="7776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2E97"/>
    <w:multiLevelType w:val="multilevel"/>
    <w:tmpl w:val="26D6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C573C"/>
    <w:multiLevelType w:val="hybridMultilevel"/>
    <w:tmpl w:val="04F811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C7884"/>
    <w:multiLevelType w:val="hybridMultilevel"/>
    <w:tmpl w:val="637AC5A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05866E9"/>
    <w:multiLevelType w:val="hybridMultilevel"/>
    <w:tmpl w:val="76EE0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D665E"/>
    <w:multiLevelType w:val="multilevel"/>
    <w:tmpl w:val="E9C4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BF7A99"/>
    <w:multiLevelType w:val="hybridMultilevel"/>
    <w:tmpl w:val="1C484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B1D38"/>
    <w:multiLevelType w:val="hybridMultilevel"/>
    <w:tmpl w:val="3356B936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D6"/>
    <w:rsid w:val="00001976"/>
    <w:rsid w:val="000101E7"/>
    <w:rsid w:val="00016A22"/>
    <w:rsid w:val="0002098D"/>
    <w:rsid w:val="00021CCA"/>
    <w:rsid w:val="00037BC7"/>
    <w:rsid w:val="00041FC2"/>
    <w:rsid w:val="00054A87"/>
    <w:rsid w:val="00056792"/>
    <w:rsid w:val="000641E2"/>
    <w:rsid w:val="00080205"/>
    <w:rsid w:val="00090D64"/>
    <w:rsid w:val="0009568D"/>
    <w:rsid w:val="00097EF2"/>
    <w:rsid w:val="000C5909"/>
    <w:rsid w:val="000C64DD"/>
    <w:rsid w:val="000E1F69"/>
    <w:rsid w:val="000E4FF5"/>
    <w:rsid w:val="000F0A77"/>
    <w:rsid w:val="00105D05"/>
    <w:rsid w:val="00131003"/>
    <w:rsid w:val="00147598"/>
    <w:rsid w:val="0017307F"/>
    <w:rsid w:val="001748D9"/>
    <w:rsid w:val="0018396E"/>
    <w:rsid w:val="001A2268"/>
    <w:rsid w:val="001A462C"/>
    <w:rsid w:val="001C0863"/>
    <w:rsid w:val="001C74C8"/>
    <w:rsid w:val="001D0C03"/>
    <w:rsid w:val="001F0477"/>
    <w:rsid w:val="001F1AC9"/>
    <w:rsid w:val="001F26C2"/>
    <w:rsid w:val="001F7DEA"/>
    <w:rsid w:val="0023013D"/>
    <w:rsid w:val="00253F31"/>
    <w:rsid w:val="0026019C"/>
    <w:rsid w:val="00276E7C"/>
    <w:rsid w:val="002D2396"/>
    <w:rsid w:val="002E0CE0"/>
    <w:rsid w:val="002E6383"/>
    <w:rsid w:val="00301A16"/>
    <w:rsid w:val="00310AA8"/>
    <w:rsid w:val="00312A09"/>
    <w:rsid w:val="00312CFC"/>
    <w:rsid w:val="00325B2D"/>
    <w:rsid w:val="003434F5"/>
    <w:rsid w:val="003466DD"/>
    <w:rsid w:val="00371432"/>
    <w:rsid w:val="003775F9"/>
    <w:rsid w:val="00386345"/>
    <w:rsid w:val="00390C1A"/>
    <w:rsid w:val="003A53DF"/>
    <w:rsid w:val="003B11B5"/>
    <w:rsid w:val="003C279D"/>
    <w:rsid w:val="003D1366"/>
    <w:rsid w:val="003D4F41"/>
    <w:rsid w:val="003E3ACC"/>
    <w:rsid w:val="003E701D"/>
    <w:rsid w:val="003F466B"/>
    <w:rsid w:val="003F5EBE"/>
    <w:rsid w:val="003F6DF6"/>
    <w:rsid w:val="00420B78"/>
    <w:rsid w:val="00420F78"/>
    <w:rsid w:val="0042584B"/>
    <w:rsid w:val="004268FE"/>
    <w:rsid w:val="004413B6"/>
    <w:rsid w:val="00446A3B"/>
    <w:rsid w:val="00451080"/>
    <w:rsid w:val="00456D7C"/>
    <w:rsid w:val="004723CE"/>
    <w:rsid w:val="0048109E"/>
    <w:rsid w:val="00491384"/>
    <w:rsid w:val="004A2CE2"/>
    <w:rsid w:val="004A658D"/>
    <w:rsid w:val="004B017E"/>
    <w:rsid w:val="004B413B"/>
    <w:rsid w:val="004C599C"/>
    <w:rsid w:val="004C717A"/>
    <w:rsid w:val="004E50F1"/>
    <w:rsid w:val="004E6928"/>
    <w:rsid w:val="00522E83"/>
    <w:rsid w:val="00526AAB"/>
    <w:rsid w:val="005419A4"/>
    <w:rsid w:val="0054335D"/>
    <w:rsid w:val="00543A80"/>
    <w:rsid w:val="00545CD0"/>
    <w:rsid w:val="00560600"/>
    <w:rsid w:val="005607D8"/>
    <w:rsid w:val="005659C4"/>
    <w:rsid w:val="005956E6"/>
    <w:rsid w:val="005A24AC"/>
    <w:rsid w:val="005A54B8"/>
    <w:rsid w:val="005A6993"/>
    <w:rsid w:val="005C70D8"/>
    <w:rsid w:val="005D1A0A"/>
    <w:rsid w:val="005D3C28"/>
    <w:rsid w:val="005D6CEA"/>
    <w:rsid w:val="005E1A16"/>
    <w:rsid w:val="005E4557"/>
    <w:rsid w:val="006074FD"/>
    <w:rsid w:val="00622DCE"/>
    <w:rsid w:val="00642660"/>
    <w:rsid w:val="0065298F"/>
    <w:rsid w:val="00660F07"/>
    <w:rsid w:val="00665987"/>
    <w:rsid w:val="006754CB"/>
    <w:rsid w:val="00687ED3"/>
    <w:rsid w:val="00696A35"/>
    <w:rsid w:val="00696F4D"/>
    <w:rsid w:val="006A76FF"/>
    <w:rsid w:val="007117B0"/>
    <w:rsid w:val="00733442"/>
    <w:rsid w:val="00740FAC"/>
    <w:rsid w:val="00742CE9"/>
    <w:rsid w:val="0075361E"/>
    <w:rsid w:val="007541B9"/>
    <w:rsid w:val="00760771"/>
    <w:rsid w:val="00760B60"/>
    <w:rsid w:val="00765DA8"/>
    <w:rsid w:val="0076604F"/>
    <w:rsid w:val="007664BA"/>
    <w:rsid w:val="0077447C"/>
    <w:rsid w:val="007A7984"/>
    <w:rsid w:val="007B01F6"/>
    <w:rsid w:val="007B26F7"/>
    <w:rsid w:val="007B49B3"/>
    <w:rsid w:val="007B506D"/>
    <w:rsid w:val="007C653E"/>
    <w:rsid w:val="007C65D4"/>
    <w:rsid w:val="007C672A"/>
    <w:rsid w:val="007E3E16"/>
    <w:rsid w:val="007E5BB0"/>
    <w:rsid w:val="007E725A"/>
    <w:rsid w:val="007E77BD"/>
    <w:rsid w:val="007E78C2"/>
    <w:rsid w:val="007F0B10"/>
    <w:rsid w:val="00810A74"/>
    <w:rsid w:val="00812A6C"/>
    <w:rsid w:val="00813837"/>
    <w:rsid w:val="00832648"/>
    <w:rsid w:val="008622F9"/>
    <w:rsid w:val="00863AFD"/>
    <w:rsid w:val="00865166"/>
    <w:rsid w:val="00890596"/>
    <w:rsid w:val="00897A3A"/>
    <w:rsid w:val="008A2956"/>
    <w:rsid w:val="008A3DAA"/>
    <w:rsid w:val="008A4D42"/>
    <w:rsid w:val="008B61FE"/>
    <w:rsid w:val="008C3BF8"/>
    <w:rsid w:val="008C48A4"/>
    <w:rsid w:val="008D0700"/>
    <w:rsid w:val="008D26E0"/>
    <w:rsid w:val="008E171F"/>
    <w:rsid w:val="008E40AA"/>
    <w:rsid w:val="008E578F"/>
    <w:rsid w:val="008E595F"/>
    <w:rsid w:val="009027C6"/>
    <w:rsid w:val="00917FDE"/>
    <w:rsid w:val="00932B78"/>
    <w:rsid w:val="00941B28"/>
    <w:rsid w:val="0095736B"/>
    <w:rsid w:val="009778A6"/>
    <w:rsid w:val="009A3BE9"/>
    <w:rsid w:val="009A76E8"/>
    <w:rsid w:val="009C6781"/>
    <w:rsid w:val="009D58A7"/>
    <w:rsid w:val="009E7B60"/>
    <w:rsid w:val="009F1898"/>
    <w:rsid w:val="009F364D"/>
    <w:rsid w:val="00A00255"/>
    <w:rsid w:val="00A020F9"/>
    <w:rsid w:val="00A3054D"/>
    <w:rsid w:val="00A307DE"/>
    <w:rsid w:val="00A41651"/>
    <w:rsid w:val="00A477BC"/>
    <w:rsid w:val="00A56366"/>
    <w:rsid w:val="00A65EAB"/>
    <w:rsid w:val="00A746F0"/>
    <w:rsid w:val="00AA47BD"/>
    <w:rsid w:val="00AB5B01"/>
    <w:rsid w:val="00AC7600"/>
    <w:rsid w:val="00AD1FA3"/>
    <w:rsid w:val="00AD2939"/>
    <w:rsid w:val="00AF4C83"/>
    <w:rsid w:val="00B12812"/>
    <w:rsid w:val="00B20F59"/>
    <w:rsid w:val="00B30558"/>
    <w:rsid w:val="00B43391"/>
    <w:rsid w:val="00B54D4D"/>
    <w:rsid w:val="00B577D6"/>
    <w:rsid w:val="00B66A29"/>
    <w:rsid w:val="00B7233B"/>
    <w:rsid w:val="00B74CD6"/>
    <w:rsid w:val="00B83349"/>
    <w:rsid w:val="00BA1A46"/>
    <w:rsid w:val="00BA219F"/>
    <w:rsid w:val="00BB70F4"/>
    <w:rsid w:val="00BC5E76"/>
    <w:rsid w:val="00BD156B"/>
    <w:rsid w:val="00BF2BEA"/>
    <w:rsid w:val="00C17840"/>
    <w:rsid w:val="00C27259"/>
    <w:rsid w:val="00C30AB6"/>
    <w:rsid w:val="00C3557A"/>
    <w:rsid w:val="00C46F3F"/>
    <w:rsid w:val="00C474F0"/>
    <w:rsid w:val="00C56DBF"/>
    <w:rsid w:val="00C659E7"/>
    <w:rsid w:val="00C67B74"/>
    <w:rsid w:val="00C82E59"/>
    <w:rsid w:val="00C8557A"/>
    <w:rsid w:val="00C97AB2"/>
    <w:rsid w:val="00CA3706"/>
    <w:rsid w:val="00CA5039"/>
    <w:rsid w:val="00CB0B37"/>
    <w:rsid w:val="00CB3CB3"/>
    <w:rsid w:val="00CB78D6"/>
    <w:rsid w:val="00CC3C22"/>
    <w:rsid w:val="00CC73AD"/>
    <w:rsid w:val="00CD4EFC"/>
    <w:rsid w:val="00CF24A3"/>
    <w:rsid w:val="00CF41BB"/>
    <w:rsid w:val="00D03C76"/>
    <w:rsid w:val="00D05370"/>
    <w:rsid w:val="00D055CE"/>
    <w:rsid w:val="00D11A26"/>
    <w:rsid w:val="00D1223F"/>
    <w:rsid w:val="00D125B0"/>
    <w:rsid w:val="00D143D5"/>
    <w:rsid w:val="00D21138"/>
    <w:rsid w:val="00D3153E"/>
    <w:rsid w:val="00D425A4"/>
    <w:rsid w:val="00D456D3"/>
    <w:rsid w:val="00D515F8"/>
    <w:rsid w:val="00D53E03"/>
    <w:rsid w:val="00D5504D"/>
    <w:rsid w:val="00D61DBD"/>
    <w:rsid w:val="00D639D5"/>
    <w:rsid w:val="00D904D5"/>
    <w:rsid w:val="00DA3B41"/>
    <w:rsid w:val="00DA7CE0"/>
    <w:rsid w:val="00DB2A51"/>
    <w:rsid w:val="00DB3F40"/>
    <w:rsid w:val="00DC2608"/>
    <w:rsid w:val="00DC6788"/>
    <w:rsid w:val="00DC7927"/>
    <w:rsid w:val="00DD3636"/>
    <w:rsid w:val="00DD73A1"/>
    <w:rsid w:val="00DE13BA"/>
    <w:rsid w:val="00DF203E"/>
    <w:rsid w:val="00E01610"/>
    <w:rsid w:val="00E061DB"/>
    <w:rsid w:val="00E0778D"/>
    <w:rsid w:val="00E257AC"/>
    <w:rsid w:val="00E3345C"/>
    <w:rsid w:val="00E3448F"/>
    <w:rsid w:val="00E400E7"/>
    <w:rsid w:val="00E51AC9"/>
    <w:rsid w:val="00E520E1"/>
    <w:rsid w:val="00E66E34"/>
    <w:rsid w:val="00E83564"/>
    <w:rsid w:val="00E85E30"/>
    <w:rsid w:val="00E92335"/>
    <w:rsid w:val="00EB61D4"/>
    <w:rsid w:val="00EE56CB"/>
    <w:rsid w:val="00F2140F"/>
    <w:rsid w:val="00F361DB"/>
    <w:rsid w:val="00F52E8E"/>
    <w:rsid w:val="00F942F7"/>
    <w:rsid w:val="00F961E7"/>
    <w:rsid w:val="00FC15BD"/>
    <w:rsid w:val="00FD0C00"/>
    <w:rsid w:val="00FD42B1"/>
    <w:rsid w:val="00FE150E"/>
    <w:rsid w:val="00FE3835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7A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17406D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17406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F6FC6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17406D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17406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B5294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Cs/>
      <w:caps/>
      <w:color w:val="0F6FC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17406D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F6FC6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F6FC6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17406D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F6FC6" w:themeColor="accen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17406D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009DD9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009DD9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73763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932B78"/>
    <w:rPr>
      <w:color w:val="F49100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22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E1F69"/>
    <w:pPr>
      <w:autoSpaceDE w:val="0"/>
      <w:autoSpaceDN w:val="0"/>
      <w:adjustRightInd w:val="0"/>
      <w:spacing w:after="0" w:line="240" w:lineRule="auto"/>
    </w:pPr>
    <w:rPr>
      <w:rFonts w:ascii="DINOT-Black" w:eastAsiaTheme="minorHAnsi" w:hAnsi="DINOT-Black" w:cs="DINOT-Black"/>
      <w:color w:val="000000"/>
      <w:sz w:val="24"/>
      <w:szCs w:val="24"/>
      <w:lang w:val="en-AU"/>
    </w:rPr>
  </w:style>
  <w:style w:type="paragraph" w:customStyle="1" w:styleId="Pa1">
    <w:name w:val="Pa1"/>
    <w:basedOn w:val="Default"/>
    <w:next w:val="Default"/>
    <w:uiPriority w:val="99"/>
    <w:rsid w:val="000E1F69"/>
    <w:pPr>
      <w:spacing w:line="20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77D6"/>
    <w:rPr>
      <w:color w:val="85DFD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A6"/>
    <w:rPr>
      <w:b/>
      <w:bCs/>
      <w:sz w:val="20"/>
      <w:szCs w:val="20"/>
    </w:rPr>
  </w:style>
  <w:style w:type="paragraph" w:customStyle="1" w:styleId="LogoHeader">
    <w:name w:val="LogoHeader"/>
    <w:basedOn w:val="Normal"/>
    <w:rsid w:val="00B83349"/>
    <w:pPr>
      <w:spacing w:after="0" w:line="240" w:lineRule="auto"/>
    </w:pPr>
    <w:rPr>
      <w:rFonts w:ascii="Univers" w:eastAsiaTheme="minorHAnsi" w:hAnsi="Univers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mailto:Community.Nursing.Contracts@dva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va.gov.au/providers/health-programs-and-services-our-clients/community-nursing-services-and-providers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dva.gov.au/providers/health-programs-and-services-our-clients/community-nursing-services-and-providers-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ursing@dva.gov.au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ssential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9E3A2-4257-43C5-868C-BC487C3B0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00247-DCFF-4269-9084-820FA87B720A}"/>
</file>

<file path=customXml/itemProps3.xml><?xml version="1.0" encoding="utf-8"?>
<ds:datastoreItem xmlns:ds="http://schemas.openxmlformats.org/officeDocument/2006/customXml" ds:itemID="{E20BC5F5-F0A0-435C-8CFA-9C9E0F59C0B3}"/>
</file>

<file path=customXml/itemProps4.xml><?xml version="1.0" encoding="utf-8"?>
<ds:datastoreItem xmlns:ds="http://schemas.openxmlformats.org/officeDocument/2006/customXml" ds:itemID="{B906AE95-4E34-4884-9175-3A970EE31F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2021-03-28T23:50:00Z</dcterms:created>
  <dcterms:modified xsi:type="dcterms:W3CDTF">2021-03-29T02:41:00Z</dcterms:modified>
</cp:coreProperties>
</file>