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108" w:rsidRDefault="00144108" w:rsidP="000B0BD5">
      <w:pPr>
        <w:jc w:val="center"/>
        <w:rPr>
          <w:rFonts w:ascii="Calibri" w:hAnsi="Calibri"/>
          <w:b/>
        </w:rPr>
      </w:pPr>
      <w:bookmarkStart w:id="0" w:name="_GoBack"/>
      <w:bookmarkEnd w:id="0"/>
      <w:r>
        <w:rPr>
          <w:rFonts w:ascii="Calibri" w:hAnsi="Calibri"/>
          <w:b/>
        </w:rPr>
        <w:t xml:space="preserve">Department of Veterans’ Affairs - </w:t>
      </w:r>
      <w:r w:rsidR="00A66946">
        <w:rPr>
          <w:rFonts w:ascii="Calibri" w:hAnsi="Calibri"/>
          <w:b/>
        </w:rPr>
        <w:t>R</w:t>
      </w:r>
      <w:r>
        <w:rPr>
          <w:rFonts w:ascii="Calibri" w:hAnsi="Calibri"/>
          <w:b/>
        </w:rPr>
        <w:t>egulator Performance Framework</w:t>
      </w:r>
    </w:p>
    <w:p w:rsidR="00B5459F" w:rsidRDefault="00B5459F" w:rsidP="000B0BD5">
      <w:pPr>
        <w:jc w:val="center"/>
        <w:rPr>
          <w:rFonts w:ascii="Calibri" w:hAnsi="Calibri"/>
          <w:b/>
        </w:rPr>
      </w:pPr>
    </w:p>
    <w:p w:rsidR="000B0BD5" w:rsidRPr="00BF4E7A" w:rsidRDefault="000B0BD5" w:rsidP="000B0BD5">
      <w:pPr>
        <w:jc w:val="center"/>
        <w:rPr>
          <w:rFonts w:ascii="Calibri" w:hAnsi="Calibri"/>
          <w:b/>
        </w:rPr>
      </w:pPr>
      <w:r>
        <w:rPr>
          <w:rFonts w:ascii="Calibri" w:hAnsi="Calibri"/>
          <w:b/>
        </w:rPr>
        <w:t xml:space="preserve">Key Performance Indicators </w:t>
      </w:r>
      <w:r w:rsidR="00A66946">
        <w:rPr>
          <w:rFonts w:ascii="Calibri" w:hAnsi="Calibri"/>
          <w:b/>
        </w:rPr>
        <w:t>for</w:t>
      </w:r>
      <w:r>
        <w:rPr>
          <w:rFonts w:ascii="Calibri" w:hAnsi="Calibri"/>
          <w:b/>
        </w:rPr>
        <w:t xml:space="preserve"> Protection of Word </w:t>
      </w:r>
      <w:r w:rsidR="00A553F8">
        <w:rPr>
          <w:rFonts w:ascii="Calibri" w:hAnsi="Calibri"/>
          <w:b/>
        </w:rPr>
        <w:t>‘</w:t>
      </w:r>
      <w:r>
        <w:rPr>
          <w:rFonts w:ascii="Calibri" w:hAnsi="Calibri"/>
          <w:b/>
        </w:rPr>
        <w:t>Anzac</w:t>
      </w:r>
      <w:r w:rsidR="00A553F8">
        <w:rPr>
          <w:rFonts w:ascii="Calibri" w:hAnsi="Calibri"/>
          <w:b/>
        </w:rPr>
        <w:t>’ Regulations</w:t>
      </w:r>
    </w:p>
    <w:p w:rsidR="00BF4E7A" w:rsidRDefault="00BF4E7A" w:rsidP="00BF4E7A">
      <w:pPr>
        <w:rPr>
          <w:rFonts w:ascii="Calibri" w:hAnsi="Calibri"/>
        </w:rPr>
      </w:pPr>
    </w:p>
    <w:tbl>
      <w:tblPr>
        <w:tblStyle w:val="TableGrid"/>
        <w:tblW w:w="14952" w:type="dxa"/>
        <w:tblLayout w:type="fixed"/>
        <w:tblLook w:val="04A0" w:firstRow="1" w:lastRow="0" w:firstColumn="1" w:lastColumn="0" w:noHBand="0" w:noVBand="1"/>
      </w:tblPr>
      <w:tblGrid>
        <w:gridCol w:w="1431"/>
        <w:gridCol w:w="4489"/>
        <w:gridCol w:w="5103"/>
        <w:gridCol w:w="3929"/>
      </w:tblGrid>
      <w:tr w:rsidR="00BF4E7A" w:rsidRPr="006C6CBA" w:rsidTr="0072623E">
        <w:trPr>
          <w:cantSplit/>
          <w:tblHeader/>
        </w:trPr>
        <w:tc>
          <w:tcPr>
            <w:tcW w:w="1431" w:type="dxa"/>
            <w:shd w:val="clear" w:color="auto" w:fill="D9D9D9" w:themeFill="background1" w:themeFillShade="D9"/>
          </w:tcPr>
          <w:p w:rsidR="00BF4E7A" w:rsidRPr="00BF4E7A" w:rsidRDefault="00BF4E7A" w:rsidP="00BF4E7A">
            <w:pPr>
              <w:ind w:left="360" w:hanging="218"/>
              <w:rPr>
                <w:rFonts w:asciiTheme="minorHAnsi" w:hAnsiTheme="minorHAnsi" w:cstheme="minorHAnsi"/>
                <w:b/>
                <w:sz w:val="20"/>
                <w:szCs w:val="20"/>
              </w:rPr>
            </w:pPr>
            <w:r w:rsidRPr="00BF4E7A">
              <w:rPr>
                <w:rFonts w:asciiTheme="minorHAnsi" w:hAnsiTheme="minorHAnsi" w:cstheme="minorHAnsi"/>
                <w:b/>
              </w:rPr>
              <w:t>KPI</w:t>
            </w:r>
          </w:p>
        </w:tc>
        <w:tc>
          <w:tcPr>
            <w:tcW w:w="4489" w:type="dxa"/>
            <w:shd w:val="clear" w:color="auto" w:fill="D9D9D9" w:themeFill="background1" w:themeFillShade="D9"/>
          </w:tcPr>
          <w:p w:rsidR="00F755B1" w:rsidRDefault="00BF4E7A" w:rsidP="00F755B1">
            <w:pPr>
              <w:ind w:left="360"/>
              <w:jc w:val="center"/>
              <w:rPr>
                <w:rFonts w:asciiTheme="minorHAnsi" w:hAnsiTheme="minorHAnsi" w:cstheme="minorHAnsi"/>
                <w:b/>
              </w:rPr>
            </w:pPr>
            <w:r w:rsidRPr="006C6CBA">
              <w:rPr>
                <w:rFonts w:asciiTheme="minorHAnsi" w:hAnsiTheme="minorHAnsi" w:cstheme="minorHAnsi"/>
                <w:b/>
              </w:rPr>
              <w:t>Measure</w:t>
            </w:r>
            <w:r>
              <w:rPr>
                <w:rFonts w:asciiTheme="minorHAnsi" w:hAnsiTheme="minorHAnsi" w:cstheme="minorHAnsi"/>
                <w:b/>
              </w:rPr>
              <w:t xml:space="preserve"> </w:t>
            </w:r>
            <w:r w:rsidR="00F755B1">
              <w:rPr>
                <w:rFonts w:asciiTheme="minorHAnsi" w:hAnsiTheme="minorHAnsi" w:cstheme="minorHAnsi"/>
                <w:b/>
              </w:rPr>
              <w:t xml:space="preserve"> </w:t>
            </w:r>
          </w:p>
          <w:p w:rsidR="00BF4E7A" w:rsidRPr="00F755B1" w:rsidRDefault="00BF4E7A" w:rsidP="00F75B85">
            <w:pPr>
              <w:ind w:left="360"/>
              <w:jc w:val="center"/>
              <w:rPr>
                <w:rFonts w:asciiTheme="minorHAnsi" w:hAnsiTheme="minorHAnsi" w:cstheme="minorHAnsi"/>
                <w:b/>
                <w:i/>
                <w:sz w:val="20"/>
                <w:szCs w:val="20"/>
              </w:rPr>
            </w:pPr>
          </w:p>
        </w:tc>
        <w:tc>
          <w:tcPr>
            <w:tcW w:w="5103" w:type="dxa"/>
            <w:shd w:val="clear" w:color="auto" w:fill="D9D9D9" w:themeFill="background1" w:themeFillShade="D9"/>
          </w:tcPr>
          <w:p w:rsidR="00BF4E7A" w:rsidRPr="004324F3" w:rsidRDefault="00BF4E7A" w:rsidP="00BF4E7A">
            <w:pPr>
              <w:pStyle w:val="ListParagraph"/>
              <w:ind w:hanging="686"/>
              <w:jc w:val="center"/>
              <w:rPr>
                <w:rFonts w:asciiTheme="minorHAnsi" w:hAnsiTheme="minorHAnsi" w:cstheme="minorHAnsi"/>
                <w:b/>
              </w:rPr>
            </w:pPr>
            <w:r w:rsidRPr="004324F3">
              <w:rPr>
                <w:rFonts w:asciiTheme="minorHAnsi" w:hAnsiTheme="minorHAnsi" w:cstheme="minorHAnsi"/>
                <w:b/>
              </w:rPr>
              <w:t>Output/activity-based evidence</w:t>
            </w:r>
          </w:p>
          <w:p w:rsidR="00BF4E7A" w:rsidRPr="00F755B1" w:rsidRDefault="00BF4E7A" w:rsidP="00C5685A">
            <w:pPr>
              <w:jc w:val="center"/>
              <w:rPr>
                <w:rFonts w:asciiTheme="minorHAnsi" w:hAnsiTheme="minorHAnsi" w:cstheme="minorHAnsi"/>
                <w:b/>
                <w:i/>
                <w:sz w:val="20"/>
                <w:szCs w:val="20"/>
              </w:rPr>
            </w:pPr>
          </w:p>
        </w:tc>
        <w:tc>
          <w:tcPr>
            <w:tcW w:w="3929" w:type="dxa"/>
            <w:shd w:val="clear" w:color="auto" w:fill="D9D9D9" w:themeFill="background1" w:themeFillShade="D9"/>
          </w:tcPr>
          <w:p w:rsidR="00BF4E7A" w:rsidRPr="003B5584" w:rsidRDefault="00BF4E7A" w:rsidP="00BF4E7A">
            <w:pPr>
              <w:jc w:val="center"/>
              <w:rPr>
                <w:rFonts w:asciiTheme="minorHAnsi" w:hAnsiTheme="minorHAnsi" w:cstheme="minorHAnsi"/>
                <w:b/>
              </w:rPr>
            </w:pPr>
            <w:r w:rsidRPr="003B5584">
              <w:rPr>
                <w:rFonts w:asciiTheme="minorHAnsi" w:hAnsiTheme="minorHAnsi" w:cstheme="minorHAnsi"/>
                <w:b/>
              </w:rPr>
              <w:t>Self-assessment methodology</w:t>
            </w:r>
          </w:p>
          <w:p w:rsidR="00BF4E7A" w:rsidRPr="003B5584" w:rsidRDefault="00BF4E7A" w:rsidP="00F75B85">
            <w:pPr>
              <w:jc w:val="center"/>
              <w:rPr>
                <w:rFonts w:asciiTheme="minorHAnsi" w:hAnsiTheme="minorHAnsi" w:cstheme="minorHAnsi"/>
                <w:sz w:val="20"/>
                <w:szCs w:val="20"/>
              </w:rPr>
            </w:pPr>
          </w:p>
        </w:tc>
      </w:tr>
      <w:tr w:rsidR="00BF4E7A" w:rsidRPr="0051776C" w:rsidTr="0072623E">
        <w:trPr>
          <w:cantSplit/>
        </w:trPr>
        <w:tc>
          <w:tcPr>
            <w:tcW w:w="1431" w:type="dxa"/>
            <w:textDirection w:val="btLr"/>
          </w:tcPr>
          <w:p w:rsidR="00BF4E7A" w:rsidRPr="00BF4E7A" w:rsidRDefault="00BF4E7A" w:rsidP="00BF4E7A">
            <w:pPr>
              <w:ind w:left="113" w:right="113"/>
              <w:jc w:val="center"/>
              <w:rPr>
                <w:rFonts w:asciiTheme="minorHAnsi" w:hAnsiTheme="minorHAnsi" w:cstheme="minorHAnsi"/>
                <w:b/>
                <w:sz w:val="20"/>
                <w:szCs w:val="20"/>
              </w:rPr>
            </w:pPr>
            <w:r w:rsidRPr="00BF4E7A">
              <w:rPr>
                <w:rFonts w:asciiTheme="minorHAnsi" w:hAnsiTheme="minorHAnsi" w:cs="Arial"/>
                <w:b/>
                <w:sz w:val="20"/>
                <w:szCs w:val="20"/>
              </w:rPr>
              <w:t>KPI 1 – Regulators do not unnecessarily impede the efficient operation of regulated entities</w:t>
            </w:r>
          </w:p>
        </w:tc>
        <w:tc>
          <w:tcPr>
            <w:tcW w:w="4489" w:type="dxa"/>
          </w:tcPr>
          <w:p w:rsidR="00BF4E7A" w:rsidRPr="006C6CBA" w:rsidRDefault="00F3375E" w:rsidP="00BF4E7A">
            <w:pPr>
              <w:pStyle w:val="bullets"/>
              <w:numPr>
                <w:ilvl w:val="0"/>
                <w:numId w:val="4"/>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 xml:space="preserve"> take</w:t>
            </w:r>
            <w:r>
              <w:rPr>
                <w:rFonts w:asciiTheme="minorHAnsi" w:hAnsiTheme="minorHAnsi"/>
                <w:sz w:val="20"/>
                <w:szCs w:val="20"/>
              </w:rPr>
              <w:t>s</w:t>
            </w:r>
            <w:r w:rsidR="00BF4E7A" w:rsidRPr="006C6CBA">
              <w:rPr>
                <w:rFonts w:asciiTheme="minorHAnsi" w:hAnsiTheme="minorHAnsi"/>
                <w:sz w:val="20"/>
                <w:szCs w:val="20"/>
              </w:rPr>
              <w:t xml:space="preserve"> actions to minimise the potential for unintended negative impacts of regulatory activities on regulated entities or affected supplier industries and supply chains. </w:t>
            </w:r>
          </w:p>
          <w:p w:rsidR="00BF4E7A" w:rsidRPr="006C6CBA" w:rsidRDefault="00F3375E" w:rsidP="00BF4E7A">
            <w:pPr>
              <w:pStyle w:val="bullets"/>
              <w:numPr>
                <w:ilvl w:val="0"/>
                <w:numId w:val="4"/>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 xml:space="preserve"> implement</w:t>
            </w:r>
            <w:r>
              <w:rPr>
                <w:rFonts w:asciiTheme="minorHAnsi" w:hAnsiTheme="minorHAnsi"/>
                <w:sz w:val="20"/>
                <w:szCs w:val="20"/>
              </w:rPr>
              <w:t>s</w:t>
            </w:r>
            <w:r w:rsidR="00BF4E7A" w:rsidRPr="006C6CBA">
              <w:rPr>
                <w:rFonts w:asciiTheme="minorHAnsi" w:hAnsiTheme="minorHAnsi"/>
                <w:sz w:val="20"/>
                <w:szCs w:val="20"/>
              </w:rPr>
              <w:t xml:space="preserve"> continuous improvement strategies to reduce the costs of compliance for those they regulate.</w:t>
            </w:r>
          </w:p>
        </w:tc>
        <w:tc>
          <w:tcPr>
            <w:tcW w:w="5103" w:type="dxa"/>
          </w:tcPr>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Documented responsiveness to feedback from regulated entities, including feedback from existing complaint mechanisms and surveys of regulated entities.</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Environment scanning is undertaken regularly and at a minimum, on an annual basis.</w:t>
            </w:r>
          </w:p>
          <w:p w:rsidR="00BF4E7A" w:rsidRPr="004324F3" w:rsidRDefault="00BF4E7A" w:rsidP="00C5685A">
            <w:pPr>
              <w:pStyle w:val="bullets"/>
              <w:spacing w:after="120" w:line="240" w:lineRule="auto"/>
              <w:ind w:left="317" w:firstLine="0"/>
              <w:rPr>
                <w:rFonts w:asciiTheme="minorHAnsi" w:hAnsiTheme="minorHAnsi"/>
                <w:sz w:val="20"/>
                <w:szCs w:val="20"/>
              </w:rPr>
            </w:pPr>
          </w:p>
        </w:tc>
        <w:tc>
          <w:tcPr>
            <w:tcW w:w="3929" w:type="dxa"/>
          </w:tcPr>
          <w:p w:rsidR="0072623E" w:rsidRPr="003B5584" w:rsidRDefault="00C5685A" w:rsidP="00197666">
            <w:pPr>
              <w:rPr>
                <w:rFonts w:asciiTheme="minorHAnsi" w:hAnsiTheme="minorHAnsi" w:cstheme="minorHAnsi"/>
                <w:sz w:val="20"/>
                <w:szCs w:val="20"/>
              </w:rPr>
            </w:pPr>
            <w:r w:rsidRPr="003B5584">
              <w:rPr>
                <w:rFonts w:asciiTheme="minorHAnsi" w:hAnsiTheme="minorHAnsi" w:cstheme="minorHAnsi"/>
                <w:sz w:val="20"/>
                <w:szCs w:val="20"/>
              </w:rPr>
              <w:t>Logging all applications, queries, complaints and other feedback regarding the protection of the word ‘Anzac’.</w:t>
            </w:r>
          </w:p>
        </w:tc>
      </w:tr>
      <w:tr w:rsidR="00BF4E7A" w:rsidRPr="0051776C" w:rsidTr="0072623E">
        <w:trPr>
          <w:cantSplit/>
        </w:trPr>
        <w:tc>
          <w:tcPr>
            <w:tcW w:w="1431" w:type="dxa"/>
            <w:shd w:val="clear" w:color="auto" w:fill="auto"/>
            <w:textDirection w:val="btLr"/>
          </w:tcPr>
          <w:p w:rsidR="00BF4E7A" w:rsidRPr="00BF4E7A" w:rsidRDefault="00BF4E7A" w:rsidP="00BF4E7A">
            <w:pPr>
              <w:ind w:left="113" w:right="113"/>
              <w:jc w:val="center"/>
              <w:rPr>
                <w:rFonts w:asciiTheme="minorHAnsi" w:hAnsiTheme="minorHAnsi" w:cs="Arial"/>
                <w:b/>
                <w:bCs/>
                <w:sz w:val="20"/>
                <w:szCs w:val="20"/>
              </w:rPr>
            </w:pPr>
            <w:r w:rsidRPr="00BF4E7A">
              <w:rPr>
                <w:rFonts w:asciiTheme="minorHAnsi" w:hAnsiTheme="minorHAnsi" w:cs="Arial"/>
                <w:b/>
                <w:bCs/>
                <w:sz w:val="20"/>
                <w:szCs w:val="20"/>
              </w:rPr>
              <w:t>KPI 2 – Communication with regulated entities is clear, targeted and effective</w:t>
            </w:r>
          </w:p>
          <w:p w:rsidR="00BF4E7A" w:rsidRPr="00BF4E7A" w:rsidRDefault="00BF4E7A" w:rsidP="00BF4E7A">
            <w:pPr>
              <w:ind w:left="113" w:right="113"/>
              <w:jc w:val="center"/>
              <w:rPr>
                <w:rFonts w:asciiTheme="minorHAnsi" w:hAnsiTheme="minorHAnsi" w:cs="Arial"/>
                <w:b/>
                <w:sz w:val="20"/>
                <w:szCs w:val="20"/>
              </w:rPr>
            </w:pPr>
          </w:p>
        </w:tc>
        <w:tc>
          <w:tcPr>
            <w:tcW w:w="4489" w:type="dxa"/>
          </w:tcPr>
          <w:p w:rsidR="00BF4E7A" w:rsidRPr="006C6CBA" w:rsidRDefault="00F3375E" w:rsidP="00BF4E7A">
            <w:pPr>
              <w:pStyle w:val="bullets"/>
              <w:numPr>
                <w:ilvl w:val="0"/>
                <w:numId w:val="5"/>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 xml:space="preserve"> provide</w:t>
            </w:r>
            <w:r>
              <w:rPr>
                <w:rFonts w:asciiTheme="minorHAnsi" w:hAnsiTheme="minorHAnsi"/>
                <w:sz w:val="20"/>
                <w:szCs w:val="20"/>
              </w:rPr>
              <w:t>s</w:t>
            </w:r>
            <w:r w:rsidR="00BF4E7A" w:rsidRPr="006C6CBA">
              <w:rPr>
                <w:rFonts w:asciiTheme="minorHAnsi" w:hAnsiTheme="minorHAnsi"/>
                <w:sz w:val="20"/>
                <w:szCs w:val="20"/>
              </w:rPr>
              <w:t xml:space="preserve"> guidance and information that is up to date, clear, accessible and concise through media appropriate to the target audience.</w:t>
            </w:r>
          </w:p>
          <w:p w:rsidR="00BF4E7A" w:rsidRPr="006C6CBA" w:rsidRDefault="00F3375E" w:rsidP="00BF4E7A">
            <w:pPr>
              <w:pStyle w:val="bullets"/>
              <w:numPr>
                <w:ilvl w:val="0"/>
                <w:numId w:val="5"/>
              </w:numPr>
              <w:spacing w:after="120" w:line="240" w:lineRule="auto"/>
              <w:rPr>
                <w:rFonts w:asciiTheme="minorHAnsi" w:hAnsiTheme="minorHAnsi"/>
                <w:sz w:val="20"/>
                <w:szCs w:val="20"/>
              </w:rPr>
            </w:pPr>
            <w:r>
              <w:rPr>
                <w:rFonts w:asciiTheme="minorHAnsi" w:hAnsiTheme="minorHAnsi"/>
                <w:sz w:val="20"/>
                <w:szCs w:val="20"/>
              </w:rPr>
              <w:t>DVA’s</w:t>
            </w:r>
            <w:r w:rsidR="00BF4E7A" w:rsidRPr="006C6CBA">
              <w:rPr>
                <w:rFonts w:asciiTheme="minorHAnsi" w:hAnsiTheme="minorHAnsi"/>
                <w:sz w:val="20"/>
                <w:szCs w:val="20"/>
              </w:rPr>
              <w:t xml:space="preserve"> decisions and advice are provided in a timely manner, clearly articulating expectations and the underlying reasons for decisions.</w:t>
            </w:r>
          </w:p>
          <w:p w:rsidR="00BF4E7A" w:rsidRPr="006C6CBA" w:rsidRDefault="00F3375E" w:rsidP="00BF4E7A">
            <w:pPr>
              <w:pStyle w:val="bullets"/>
              <w:numPr>
                <w:ilvl w:val="0"/>
                <w:numId w:val="5"/>
              </w:numPr>
              <w:spacing w:after="120" w:line="240" w:lineRule="auto"/>
              <w:rPr>
                <w:rFonts w:asciiTheme="minorHAnsi" w:hAnsiTheme="minorHAnsi"/>
                <w:sz w:val="20"/>
                <w:szCs w:val="20"/>
              </w:rPr>
            </w:pPr>
            <w:r>
              <w:rPr>
                <w:rFonts w:asciiTheme="minorHAnsi" w:hAnsiTheme="minorHAnsi"/>
                <w:sz w:val="20"/>
                <w:szCs w:val="20"/>
              </w:rPr>
              <w:t>DVA’s</w:t>
            </w:r>
            <w:r w:rsidR="00BF4E7A" w:rsidRPr="006C6CBA">
              <w:rPr>
                <w:rFonts w:asciiTheme="minorHAnsi" w:hAnsiTheme="minorHAnsi"/>
                <w:sz w:val="20"/>
                <w:szCs w:val="20"/>
              </w:rPr>
              <w:t xml:space="preserve"> advice is consistent and supports predictable outcomes.</w:t>
            </w:r>
          </w:p>
        </w:tc>
        <w:tc>
          <w:tcPr>
            <w:tcW w:w="5103" w:type="dxa"/>
          </w:tcPr>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Percentage of guidance materials that complies with government accessibility guidelines.</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Maximum, minimum and average time for decision.</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Published timeframes for decision making.</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Percentage of decisions accompanied by statement of reasons and advice about relevant review or appeal mechanisms, where appropriate.</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Approved procedures for communications (including issue-specific scripts if relevant) are available for staff use when interacting with regulated entities.</w:t>
            </w:r>
          </w:p>
          <w:p w:rsidR="00BF4E7A" w:rsidRPr="00BF4E7A"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Advice provided to regulated entities is consistent with communication policies.</w:t>
            </w:r>
          </w:p>
        </w:tc>
        <w:tc>
          <w:tcPr>
            <w:tcW w:w="3929" w:type="dxa"/>
          </w:tcPr>
          <w:p w:rsidR="00BF4E7A" w:rsidRPr="003B5584" w:rsidRDefault="00C06B38" w:rsidP="00BF4E7A">
            <w:pPr>
              <w:rPr>
                <w:rFonts w:asciiTheme="minorHAnsi" w:hAnsiTheme="minorHAnsi" w:cstheme="minorHAnsi"/>
                <w:sz w:val="20"/>
                <w:szCs w:val="20"/>
              </w:rPr>
            </w:pPr>
            <w:r w:rsidRPr="003B5584">
              <w:rPr>
                <w:rFonts w:asciiTheme="minorHAnsi" w:hAnsiTheme="minorHAnsi" w:cstheme="minorHAnsi"/>
                <w:sz w:val="20"/>
                <w:szCs w:val="20"/>
              </w:rPr>
              <w:t>A</w:t>
            </w:r>
            <w:r w:rsidR="0072623E" w:rsidRPr="003B5584">
              <w:rPr>
                <w:rFonts w:asciiTheme="minorHAnsi" w:hAnsiTheme="minorHAnsi" w:cstheme="minorHAnsi"/>
                <w:sz w:val="20"/>
                <w:szCs w:val="20"/>
              </w:rPr>
              <w:t xml:space="preserve"> Use of the word ‘Anzac’ Guidelines document, featuring information on how to apply to use the word ‘Anzac’, timeframes, </w:t>
            </w:r>
            <w:r w:rsidR="00197666">
              <w:rPr>
                <w:rFonts w:asciiTheme="minorHAnsi" w:hAnsiTheme="minorHAnsi" w:cstheme="minorHAnsi"/>
                <w:sz w:val="20"/>
                <w:szCs w:val="20"/>
              </w:rPr>
              <w:t xml:space="preserve">and appeal mechanisms </w:t>
            </w:r>
            <w:r w:rsidRPr="003B5584">
              <w:rPr>
                <w:rFonts w:asciiTheme="minorHAnsi" w:hAnsiTheme="minorHAnsi" w:cstheme="minorHAnsi"/>
                <w:sz w:val="20"/>
                <w:szCs w:val="20"/>
              </w:rPr>
              <w:t>will be published on the DVA website.</w:t>
            </w:r>
          </w:p>
          <w:p w:rsidR="0072623E" w:rsidRPr="003B5584" w:rsidRDefault="0072623E" w:rsidP="00BF4E7A">
            <w:pPr>
              <w:rPr>
                <w:rFonts w:asciiTheme="minorHAnsi" w:hAnsiTheme="minorHAnsi" w:cstheme="minorHAnsi"/>
                <w:sz w:val="20"/>
                <w:szCs w:val="20"/>
              </w:rPr>
            </w:pPr>
          </w:p>
          <w:p w:rsidR="0072623E" w:rsidRPr="003B5584" w:rsidRDefault="00C06B38" w:rsidP="00197666">
            <w:pPr>
              <w:rPr>
                <w:rFonts w:asciiTheme="minorHAnsi" w:hAnsiTheme="minorHAnsi" w:cstheme="minorHAnsi"/>
                <w:sz w:val="20"/>
                <w:szCs w:val="20"/>
              </w:rPr>
            </w:pPr>
            <w:r w:rsidRPr="003B5584">
              <w:rPr>
                <w:rFonts w:asciiTheme="minorHAnsi" w:hAnsiTheme="minorHAnsi" w:cstheme="minorHAnsi"/>
                <w:sz w:val="20"/>
                <w:szCs w:val="20"/>
              </w:rPr>
              <w:t>A</w:t>
            </w:r>
            <w:r w:rsidR="0072623E" w:rsidRPr="003B5584">
              <w:rPr>
                <w:rFonts w:asciiTheme="minorHAnsi" w:hAnsiTheme="minorHAnsi" w:cstheme="minorHAnsi"/>
                <w:sz w:val="20"/>
                <w:szCs w:val="20"/>
              </w:rPr>
              <w:t xml:space="preserve"> policy document outlining internal processes for use of the word ‘Anzac’, including </w:t>
            </w:r>
            <w:r w:rsidRPr="003B5584">
              <w:rPr>
                <w:rFonts w:asciiTheme="minorHAnsi" w:hAnsiTheme="minorHAnsi" w:cstheme="minorHAnsi"/>
                <w:sz w:val="20"/>
                <w:szCs w:val="20"/>
              </w:rPr>
              <w:t xml:space="preserve">standard words and templates will be made available to DVA </w:t>
            </w:r>
            <w:r w:rsidR="00197666">
              <w:rPr>
                <w:rFonts w:asciiTheme="minorHAnsi" w:hAnsiTheme="minorHAnsi" w:cstheme="minorHAnsi"/>
                <w:sz w:val="20"/>
                <w:szCs w:val="20"/>
              </w:rPr>
              <w:t>staff and staff from the Minister’s office.</w:t>
            </w:r>
          </w:p>
        </w:tc>
      </w:tr>
      <w:tr w:rsidR="00BF4E7A" w:rsidRPr="0051776C" w:rsidTr="0072623E">
        <w:trPr>
          <w:cantSplit/>
        </w:trPr>
        <w:tc>
          <w:tcPr>
            <w:tcW w:w="1431" w:type="dxa"/>
            <w:shd w:val="clear" w:color="auto" w:fill="auto"/>
            <w:textDirection w:val="btLr"/>
          </w:tcPr>
          <w:p w:rsidR="00BF4E7A" w:rsidRPr="00BF4E7A" w:rsidRDefault="00BF4E7A" w:rsidP="00BF4E7A">
            <w:pPr>
              <w:ind w:left="113" w:right="113"/>
              <w:jc w:val="center"/>
              <w:rPr>
                <w:rFonts w:asciiTheme="minorHAnsi" w:hAnsiTheme="minorHAnsi" w:cs="Arial"/>
                <w:b/>
                <w:sz w:val="20"/>
                <w:szCs w:val="20"/>
              </w:rPr>
            </w:pPr>
            <w:r w:rsidRPr="00BF4E7A">
              <w:rPr>
                <w:rFonts w:asciiTheme="minorHAnsi" w:hAnsiTheme="minorHAnsi" w:cs="Arial"/>
                <w:b/>
                <w:sz w:val="20"/>
                <w:szCs w:val="20"/>
              </w:rPr>
              <w:lastRenderedPageBreak/>
              <w:t>KPI 3 – Actions undertaken by regulators are proportionate to the regulatory risk being managed</w:t>
            </w:r>
          </w:p>
        </w:tc>
        <w:tc>
          <w:tcPr>
            <w:tcW w:w="4489" w:type="dxa"/>
          </w:tcPr>
          <w:p w:rsidR="00BF4E7A" w:rsidRPr="006C6CBA" w:rsidRDefault="00F3375E" w:rsidP="00BF4E7A">
            <w:pPr>
              <w:pStyle w:val="bullets"/>
              <w:numPr>
                <w:ilvl w:val="0"/>
                <w:numId w:val="6"/>
              </w:numPr>
              <w:spacing w:after="120" w:line="240" w:lineRule="auto"/>
              <w:rPr>
                <w:rFonts w:asciiTheme="minorHAnsi" w:hAnsiTheme="minorHAnsi"/>
                <w:sz w:val="20"/>
                <w:szCs w:val="20"/>
              </w:rPr>
            </w:pPr>
            <w:r>
              <w:rPr>
                <w:rFonts w:asciiTheme="minorHAnsi" w:hAnsiTheme="minorHAnsi"/>
                <w:sz w:val="20"/>
                <w:szCs w:val="20"/>
              </w:rPr>
              <w:t>DVA applies</w:t>
            </w:r>
            <w:r w:rsidR="00BF4E7A" w:rsidRPr="006C6CBA">
              <w:rPr>
                <w:rFonts w:asciiTheme="minorHAnsi" w:hAnsiTheme="minorHAnsi"/>
                <w:sz w:val="20"/>
                <w:szCs w:val="20"/>
              </w:rPr>
              <w:t xml:space="preserve"> a risk-based, proportionate approach to compliance obligations, engagement and regulatory enforcement actions. </w:t>
            </w:r>
          </w:p>
          <w:p w:rsidR="00BF4E7A" w:rsidRPr="006C6CBA" w:rsidRDefault="00F3375E" w:rsidP="00BF4E7A">
            <w:pPr>
              <w:pStyle w:val="bullets"/>
              <w:numPr>
                <w:ilvl w:val="0"/>
                <w:numId w:val="6"/>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w:t>
            </w:r>
            <w:r>
              <w:rPr>
                <w:rFonts w:asciiTheme="minorHAnsi" w:hAnsiTheme="minorHAnsi"/>
                <w:sz w:val="20"/>
                <w:szCs w:val="20"/>
              </w:rPr>
              <w:t>s</w:t>
            </w:r>
            <w:r w:rsidR="00BF4E7A" w:rsidRPr="006C6CBA">
              <w:rPr>
                <w:rFonts w:asciiTheme="minorHAnsi" w:hAnsiTheme="minorHAnsi"/>
                <w:sz w:val="20"/>
                <w:szCs w:val="20"/>
              </w:rPr>
              <w:t xml:space="preserve"> preferred approach to regulatory risk is regularly reassessed. Strategies, activities and enforcement actions are amended to reflect changing priorities that result from new and evolving regulatory threats, without diminishing regulatory certainty or impact.</w:t>
            </w:r>
          </w:p>
          <w:p w:rsidR="00BF4E7A" w:rsidRPr="006C6CBA" w:rsidRDefault="00F3375E" w:rsidP="00BF4E7A">
            <w:pPr>
              <w:pStyle w:val="bullets"/>
              <w:numPr>
                <w:ilvl w:val="0"/>
                <w:numId w:val="6"/>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 xml:space="preserve"> recognise</w:t>
            </w:r>
            <w:r>
              <w:rPr>
                <w:rFonts w:asciiTheme="minorHAnsi" w:hAnsiTheme="minorHAnsi"/>
                <w:sz w:val="20"/>
                <w:szCs w:val="20"/>
              </w:rPr>
              <w:t>s</w:t>
            </w:r>
            <w:r w:rsidR="00BF4E7A" w:rsidRPr="006C6CBA">
              <w:rPr>
                <w:rFonts w:asciiTheme="minorHAnsi" w:hAnsiTheme="minorHAnsi"/>
                <w:sz w:val="20"/>
                <w:szCs w:val="20"/>
              </w:rPr>
              <w:t xml:space="preserve"> the compliance record of regulated entities, including using earned autonomy where this is appropriate. All available and relevant data on compliance, including evidence of relevant external verification is considered.</w:t>
            </w:r>
          </w:p>
        </w:tc>
        <w:tc>
          <w:tcPr>
            <w:tcW w:w="5103" w:type="dxa"/>
          </w:tcPr>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Risk management policies and procedures are available to regulator staff and the public.</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Compliance and enforcement strategies, consistent with agreed risk management policies are published.</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 xml:space="preserve">Documented enforcement strategy which allows for the compliance records of regulated entities to be considered in determining regulatory actions. </w:t>
            </w:r>
          </w:p>
          <w:p w:rsidR="00BF4E7A" w:rsidRPr="00C06B38" w:rsidRDefault="00BF4E7A" w:rsidP="00C06B38">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 xml:space="preserve">Documented enforcement strategy includes options for graduated compliance actions consistent with regulators’ powers. </w:t>
            </w:r>
          </w:p>
        </w:tc>
        <w:tc>
          <w:tcPr>
            <w:tcW w:w="3929" w:type="dxa"/>
          </w:tcPr>
          <w:p w:rsidR="00BF4E7A" w:rsidRPr="003B5584" w:rsidRDefault="0072623E" w:rsidP="00BF4E7A">
            <w:pPr>
              <w:rPr>
                <w:rFonts w:asciiTheme="minorHAnsi" w:hAnsiTheme="minorHAnsi" w:cstheme="minorHAnsi"/>
                <w:sz w:val="20"/>
                <w:szCs w:val="20"/>
              </w:rPr>
            </w:pPr>
            <w:r w:rsidRPr="003B5584">
              <w:rPr>
                <w:rFonts w:asciiTheme="minorHAnsi" w:hAnsiTheme="minorHAnsi" w:cstheme="minorHAnsi"/>
                <w:sz w:val="20"/>
                <w:szCs w:val="20"/>
              </w:rPr>
              <w:t xml:space="preserve">Risk management policies will be </w:t>
            </w:r>
            <w:r w:rsidR="00C06B38" w:rsidRPr="003B5584">
              <w:rPr>
                <w:rFonts w:asciiTheme="minorHAnsi" w:hAnsiTheme="minorHAnsi" w:cstheme="minorHAnsi"/>
                <w:sz w:val="20"/>
                <w:szCs w:val="20"/>
              </w:rPr>
              <w:t>available</w:t>
            </w:r>
            <w:r w:rsidRPr="003B5584">
              <w:rPr>
                <w:rFonts w:asciiTheme="minorHAnsi" w:hAnsiTheme="minorHAnsi" w:cstheme="minorHAnsi"/>
                <w:sz w:val="20"/>
                <w:szCs w:val="20"/>
              </w:rPr>
              <w:t xml:space="preserve"> in the Use of the </w:t>
            </w:r>
            <w:r w:rsidR="00C06B38" w:rsidRPr="003B5584">
              <w:rPr>
                <w:rFonts w:asciiTheme="minorHAnsi" w:hAnsiTheme="minorHAnsi" w:cstheme="minorHAnsi"/>
                <w:sz w:val="20"/>
                <w:szCs w:val="20"/>
              </w:rPr>
              <w:t>W</w:t>
            </w:r>
            <w:r w:rsidRPr="003B5584">
              <w:rPr>
                <w:rFonts w:asciiTheme="minorHAnsi" w:hAnsiTheme="minorHAnsi" w:cstheme="minorHAnsi"/>
                <w:sz w:val="20"/>
                <w:szCs w:val="20"/>
              </w:rPr>
              <w:t>ord ‘Anzac’ Guidelines.</w:t>
            </w:r>
          </w:p>
          <w:p w:rsidR="0072623E" w:rsidRPr="003B5584" w:rsidRDefault="0072623E" w:rsidP="00BF4E7A">
            <w:pPr>
              <w:rPr>
                <w:rFonts w:asciiTheme="minorHAnsi" w:hAnsiTheme="minorHAnsi" w:cstheme="minorHAnsi"/>
                <w:sz w:val="20"/>
                <w:szCs w:val="20"/>
              </w:rPr>
            </w:pPr>
          </w:p>
          <w:p w:rsidR="0072623E" w:rsidRPr="003B5584" w:rsidRDefault="0072623E" w:rsidP="00C06B38">
            <w:pPr>
              <w:rPr>
                <w:rFonts w:asciiTheme="minorHAnsi" w:hAnsiTheme="minorHAnsi" w:cstheme="minorHAnsi"/>
                <w:sz w:val="20"/>
                <w:szCs w:val="20"/>
              </w:rPr>
            </w:pPr>
            <w:r w:rsidRPr="003B5584">
              <w:rPr>
                <w:rFonts w:asciiTheme="minorHAnsi" w:hAnsiTheme="minorHAnsi" w:cstheme="minorHAnsi"/>
                <w:sz w:val="20"/>
                <w:szCs w:val="20"/>
              </w:rPr>
              <w:t xml:space="preserve">These Guidelines will be reviewed </w:t>
            </w:r>
            <w:r w:rsidR="00197666">
              <w:rPr>
                <w:rFonts w:asciiTheme="minorHAnsi" w:hAnsiTheme="minorHAnsi" w:cstheme="minorHAnsi"/>
                <w:sz w:val="20"/>
                <w:szCs w:val="20"/>
              </w:rPr>
              <w:t>annually as part of the self-assessment process.</w:t>
            </w:r>
          </w:p>
          <w:p w:rsidR="00C06B38" w:rsidRPr="003B5584" w:rsidRDefault="00C06B38" w:rsidP="00C06B38">
            <w:pPr>
              <w:rPr>
                <w:rFonts w:asciiTheme="minorHAnsi" w:hAnsiTheme="minorHAnsi" w:cstheme="minorHAnsi"/>
                <w:sz w:val="20"/>
                <w:szCs w:val="20"/>
              </w:rPr>
            </w:pPr>
          </w:p>
          <w:p w:rsidR="00C06B38" w:rsidRPr="003B5584" w:rsidRDefault="00C06B38" w:rsidP="00C06B38">
            <w:pPr>
              <w:rPr>
                <w:rFonts w:asciiTheme="minorHAnsi" w:hAnsiTheme="minorHAnsi" w:cstheme="minorHAnsi"/>
                <w:sz w:val="20"/>
                <w:szCs w:val="20"/>
              </w:rPr>
            </w:pPr>
            <w:r w:rsidRPr="003B5584">
              <w:rPr>
                <w:rFonts w:asciiTheme="minorHAnsi" w:hAnsiTheme="minorHAnsi" w:cstheme="minorHAnsi"/>
                <w:sz w:val="20"/>
                <w:szCs w:val="20"/>
              </w:rPr>
              <w:t xml:space="preserve">Enforcement </w:t>
            </w:r>
            <w:r w:rsidR="00D906C4">
              <w:rPr>
                <w:rFonts w:asciiTheme="minorHAnsi" w:hAnsiTheme="minorHAnsi" w:cstheme="minorHAnsi"/>
                <w:sz w:val="20"/>
                <w:szCs w:val="20"/>
              </w:rPr>
              <w:t>strategy</w:t>
            </w:r>
            <w:r w:rsidR="00D906C4" w:rsidRPr="003B5584">
              <w:rPr>
                <w:rFonts w:asciiTheme="minorHAnsi" w:hAnsiTheme="minorHAnsi" w:cstheme="minorHAnsi"/>
                <w:sz w:val="20"/>
                <w:szCs w:val="20"/>
              </w:rPr>
              <w:t xml:space="preserve"> </w:t>
            </w:r>
            <w:r w:rsidRPr="003B5584">
              <w:rPr>
                <w:rFonts w:asciiTheme="minorHAnsi" w:hAnsiTheme="minorHAnsi" w:cstheme="minorHAnsi"/>
                <w:sz w:val="20"/>
                <w:szCs w:val="20"/>
              </w:rPr>
              <w:t>will be noted in the Guidelines.</w:t>
            </w:r>
          </w:p>
          <w:p w:rsidR="00C06B38" w:rsidRPr="003B5584" w:rsidRDefault="00C06B38" w:rsidP="00C06B38">
            <w:pPr>
              <w:rPr>
                <w:rFonts w:asciiTheme="minorHAnsi" w:hAnsiTheme="minorHAnsi" w:cstheme="minorHAnsi"/>
                <w:sz w:val="20"/>
                <w:szCs w:val="20"/>
              </w:rPr>
            </w:pPr>
          </w:p>
          <w:p w:rsidR="00C06B38" w:rsidRPr="003B5584" w:rsidRDefault="00D906C4" w:rsidP="00C06B38">
            <w:pPr>
              <w:rPr>
                <w:rFonts w:asciiTheme="minorHAnsi" w:hAnsiTheme="minorHAnsi" w:cstheme="minorHAnsi"/>
                <w:sz w:val="20"/>
                <w:szCs w:val="20"/>
              </w:rPr>
            </w:pPr>
            <w:r>
              <w:rPr>
                <w:rFonts w:asciiTheme="minorHAnsi" w:hAnsiTheme="minorHAnsi" w:cstheme="minorHAnsi"/>
                <w:sz w:val="20"/>
                <w:szCs w:val="20"/>
              </w:rPr>
              <w:t>The number of e</w:t>
            </w:r>
            <w:r w:rsidR="00C06B38" w:rsidRPr="003B5584">
              <w:rPr>
                <w:rFonts w:asciiTheme="minorHAnsi" w:hAnsiTheme="minorHAnsi" w:cstheme="minorHAnsi"/>
                <w:sz w:val="20"/>
                <w:szCs w:val="20"/>
              </w:rPr>
              <w:t>nf</w:t>
            </w:r>
            <w:r w:rsidR="00197666">
              <w:rPr>
                <w:rFonts w:asciiTheme="minorHAnsi" w:hAnsiTheme="minorHAnsi" w:cstheme="minorHAnsi"/>
                <w:sz w:val="20"/>
                <w:szCs w:val="20"/>
              </w:rPr>
              <w:t>orcement actions will be tracked.</w:t>
            </w:r>
          </w:p>
          <w:p w:rsidR="00C06B38" w:rsidRPr="003B5584" w:rsidRDefault="00C06B38" w:rsidP="00C06B38">
            <w:pPr>
              <w:rPr>
                <w:rFonts w:asciiTheme="minorHAnsi" w:hAnsiTheme="minorHAnsi" w:cstheme="minorHAnsi"/>
                <w:sz w:val="20"/>
                <w:szCs w:val="20"/>
              </w:rPr>
            </w:pPr>
          </w:p>
        </w:tc>
      </w:tr>
      <w:tr w:rsidR="00BF4E7A" w:rsidRPr="0051776C" w:rsidTr="00C06B38">
        <w:trPr>
          <w:cantSplit/>
          <w:trHeight w:val="3413"/>
        </w:trPr>
        <w:tc>
          <w:tcPr>
            <w:tcW w:w="1431" w:type="dxa"/>
            <w:shd w:val="clear" w:color="auto" w:fill="auto"/>
            <w:textDirection w:val="btLr"/>
          </w:tcPr>
          <w:p w:rsidR="00BF4E7A" w:rsidRPr="00BF4E7A" w:rsidRDefault="00BF4E7A" w:rsidP="00BF4E7A">
            <w:pPr>
              <w:ind w:left="113" w:right="113"/>
              <w:jc w:val="center"/>
              <w:rPr>
                <w:rFonts w:asciiTheme="minorHAnsi" w:hAnsiTheme="minorHAnsi" w:cs="Arial"/>
                <w:b/>
                <w:sz w:val="20"/>
                <w:szCs w:val="20"/>
              </w:rPr>
            </w:pPr>
            <w:r w:rsidRPr="00BF4E7A">
              <w:rPr>
                <w:rFonts w:asciiTheme="minorHAnsi" w:hAnsiTheme="minorHAnsi" w:cs="Arial"/>
                <w:b/>
                <w:sz w:val="20"/>
                <w:szCs w:val="20"/>
              </w:rPr>
              <w:t>KPI 4 – Compliance and monitoring approaches are streamlined and coordinated</w:t>
            </w:r>
          </w:p>
        </w:tc>
        <w:tc>
          <w:tcPr>
            <w:tcW w:w="4489" w:type="dxa"/>
          </w:tcPr>
          <w:p w:rsidR="00BF4E7A" w:rsidRPr="006C6CBA" w:rsidRDefault="00F3375E" w:rsidP="00BF4E7A">
            <w:pPr>
              <w:pStyle w:val="bullets"/>
              <w:numPr>
                <w:ilvl w:val="0"/>
                <w:numId w:val="7"/>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 xml:space="preserve"> utilise</w:t>
            </w:r>
            <w:r>
              <w:rPr>
                <w:rFonts w:asciiTheme="minorHAnsi" w:hAnsiTheme="minorHAnsi"/>
                <w:sz w:val="20"/>
                <w:szCs w:val="20"/>
              </w:rPr>
              <w:t>s</w:t>
            </w:r>
            <w:r w:rsidR="00BF4E7A" w:rsidRPr="006C6CBA">
              <w:rPr>
                <w:rFonts w:asciiTheme="minorHAnsi" w:hAnsiTheme="minorHAnsi"/>
                <w:sz w:val="20"/>
                <w:szCs w:val="20"/>
              </w:rPr>
              <w:t xml:space="preserve"> existing information to limit the reliance on requests from regulated entities and share</w:t>
            </w:r>
            <w:r>
              <w:rPr>
                <w:rFonts w:asciiTheme="minorHAnsi" w:hAnsiTheme="minorHAnsi"/>
                <w:sz w:val="20"/>
                <w:szCs w:val="20"/>
              </w:rPr>
              <w:t>s</w:t>
            </w:r>
            <w:r w:rsidR="00BF4E7A" w:rsidRPr="006C6CBA">
              <w:rPr>
                <w:rFonts w:asciiTheme="minorHAnsi" w:hAnsiTheme="minorHAnsi"/>
                <w:sz w:val="20"/>
                <w:szCs w:val="20"/>
              </w:rPr>
              <w:t xml:space="preserve"> the information among other regulators, where possible.</w:t>
            </w:r>
          </w:p>
          <w:p w:rsidR="00BF4E7A" w:rsidRPr="006C6CBA" w:rsidRDefault="00F3375E" w:rsidP="00BF4E7A">
            <w:pPr>
              <w:pStyle w:val="bullets"/>
              <w:numPr>
                <w:ilvl w:val="0"/>
                <w:numId w:val="7"/>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 xml:space="preserve"> base</w:t>
            </w:r>
            <w:r>
              <w:rPr>
                <w:rFonts w:asciiTheme="minorHAnsi" w:hAnsiTheme="minorHAnsi"/>
                <w:sz w:val="20"/>
                <w:szCs w:val="20"/>
              </w:rPr>
              <w:t>s</w:t>
            </w:r>
            <w:r w:rsidR="00BF4E7A" w:rsidRPr="006C6CBA">
              <w:rPr>
                <w:rFonts w:asciiTheme="minorHAnsi" w:hAnsiTheme="minorHAnsi"/>
                <w:sz w:val="20"/>
                <w:szCs w:val="20"/>
              </w:rPr>
              <w:t xml:space="preserve"> monitoring and inspection approaches on risk and, where possible, take</w:t>
            </w:r>
            <w:r>
              <w:rPr>
                <w:rFonts w:asciiTheme="minorHAnsi" w:hAnsiTheme="minorHAnsi"/>
                <w:sz w:val="20"/>
                <w:szCs w:val="20"/>
              </w:rPr>
              <w:t>s</w:t>
            </w:r>
            <w:r w:rsidR="00BF4E7A" w:rsidRPr="006C6CBA">
              <w:rPr>
                <w:rFonts w:asciiTheme="minorHAnsi" w:hAnsiTheme="minorHAnsi"/>
                <w:sz w:val="20"/>
                <w:szCs w:val="20"/>
              </w:rPr>
              <w:t xml:space="preserve"> into account the circumstance and operational needs of the regulated entity.  </w:t>
            </w:r>
          </w:p>
        </w:tc>
        <w:tc>
          <w:tcPr>
            <w:tcW w:w="5103" w:type="dxa"/>
          </w:tcPr>
          <w:p w:rsidR="00BF4E7A" w:rsidRPr="004324F3" w:rsidRDefault="00C06B38" w:rsidP="00BF4E7A">
            <w:pPr>
              <w:pStyle w:val="bullets"/>
              <w:numPr>
                <w:ilvl w:val="0"/>
                <w:numId w:val="3"/>
              </w:numPr>
              <w:spacing w:after="120" w:line="240" w:lineRule="auto"/>
              <w:ind w:left="317" w:hanging="283"/>
              <w:rPr>
                <w:rFonts w:asciiTheme="minorHAnsi" w:hAnsiTheme="minorHAnsi"/>
                <w:sz w:val="20"/>
                <w:szCs w:val="20"/>
              </w:rPr>
            </w:pPr>
            <w:r>
              <w:rPr>
                <w:rFonts w:asciiTheme="minorHAnsi" w:hAnsiTheme="minorHAnsi"/>
                <w:sz w:val="20"/>
                <w:szCs w:val="20"/>
              </w:rPr>
              <w:t>I</w:t>
            </w:r>
            <w:r w:rsidR="00BF4E7A" w:rsidRPr="004324F3">
              <w:rPr>
                <w:rFonts w:asciiTheme="minorHAnsi" w:hAnsiTheme="minorHAnsi"/>
                <w:sz w:val="20"/>
                <w:szCs w:val="20"/>
              </w:rPr>
              <w:t>nformation shared and received among regulators.</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 xml:space="preserve">Evidence of collected information being acted upon, stored and re-used. </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Regular review and assessment of agreed monitoring and compliance strategies, including use of earned autonomy approaches.</w:t>
            </w:r>
          </w:p>
        </w:tc>
        <w:tc>
          <w:tcPr>
            <w:tcW w:w="3929" w:type="dxa"/>
          </w:tcPr>
          <w:p w:rsidR="00BF4E7A" w:rsidRPr="003B5584" w:rsidRDefault="00C06B38" w:rsidP="00BF4E7A">
            <w:pPr>
              <w:rPr>
                <w:rFonts w:asciiTheme="minorHAnsi" w:hAnsiTheme="minorHAnsi" w:cstheme="minorHAnsi"/>
                <w:sz w:val="20"/>
                <w:szCs w:val="20"/>
              </w:rPr>
            </w:pPr>
            <w:r w:rsidRPr="003B5584">
              <w:rPr>
                <w:rFonts w:asciiTheme="minorHAnsi" w:hAnsiTheme="minorHAnsi" w:cstheme="minorHAnsi"/>
                <w:sz w:val="20"/>
                <w:szCs w:val="20"/>
              </w:rPr>
              <w:t xml:space="preserve">The </w:t>
            </w:r>
            <w:r w:rsidR="00D83D6D">
              <w:rPr>
                <w:rFonts w:asciiTheme="minorHAnsi" w:hAnsiTheme="minorHAnsi" w:cstheme="minorHAnsi"/>
                <w:sz w:val="20"/>
                <w:szCs w:val="20"/>
              </w:rPr>
              <w:t xml:space="preserve">information </w:t>
            </w:r>
            <w:r w:rsidR="007E309E" w:rsidRPr="003B5584">
              <w:rPr>
                <w:rFonts w:asciiTheme="minorHAnsi" w:hAnsiTheme="minorHAnsi" w:cstheme="minorHAnsi"/>
                <w:sz w:val="20"/>
                <w:szCs w:val="20"/>
              </w:rPr>
              <w:t xml:space="preserve">will be shared with similar </w:t>
            </w:r>
            <w:r w:rsidRPr="003B5584">
              <w:rPr>
                <w:rFonts w:asciiTheme="minorHAnsi" w:hAnsiTheme="minorHAnsi" w:cstheme="minorHAnsi"/>
                <w:sz w:val="20"/>
                <w:szCs w:val="20"/>
              </w:rPr>
              <w:t>regulators, such as the Army Brand Manager.</w:t>
            </w:r>
          </w:p>
          <w:p w:rsidR="00C06B38" w:rsidRPr="003B5584" w:rsidRDefault="00C06B38" w:rsidP="00BF4E7A">
            <w:pPr>
              <w:rPr>
                <w:rFonts w:asciiTheme="minorHAnsi" w:hAnsiTheme="minorHAnsi" w:cstheme="minorHAnsi"/>
                <w:sz w:val="20"/>
                <w:szCs w:val="20"/>
              </w:rPr>
            </w:pPr>
          </w:p>
          <w:p w:rsidR="007E309E" w:rsidRPr="003B5584" w:rsidRDefault="00C06B38" w:rsidP="00C06B38">
            <w:pPr>
              <w:rPr>
                <w:rFonts w:asciiTheme="minorHAnsi" w:hAnsiTheme="minorHAnsi" w:cstheme="minorHAnsi"/>
                <w:sz w:val="20"/>
                <w:szCs w:val="20"/>
              </w:rPr>
            </w:pPr>
            <w:r w:rsidRPr="003B5584">
              <w:rPr>
                <w:rFonts w:asciiTheme="minorHAnsi" w:hAnsiTheme="minorHAnsi" w:cstheme="minorHAnsi"/>
                <w:sz w:val="20"/>
                <w:szCs w:val="20"/>
              </w:rPr>
              <w:t>Information collected will be used to update the Use of the Word ‘Anzac’ Guidelines as necessary.</w:t>
            </w:r>
          </w:p>
          <w:p w:rsidR="007E309E" w:rsidRPr="003B5584" w:rsidRDefault="007E309E" w:rsidP="00C06B38">
            <w:pPr>
              <w:rPr>
                <w:rFonts w:asciiTheme="minorHAnsi" w:hAnsiTheme="minorHAnsi" w:cstheme="minorHAnsi"/>
                <w:sz w:val="20"/>
                <w:szCs w:val="20"/>
              </w:rPr>
            </w:pPr>
          </w:p>
          <w:p w:rsidR="007E309E" w:rsidRPr="003B5584" w:rsidRDefault="007E309E" w:rsidP="00C06B38">
            <w:pPr>
              <w:rPr>
                <w:rFonts w:asciiTheme="minorHAnsi" w:hAnsiTheme="minorHAnsi" w:cstheme="minorHAnsi"/>
                <w:sz w:val="20"/>
                <w:szCs w:val="20"/>
              </w:rPr>
            </w:pPr>
            <w:r w:rsidRPr="003B5584">
              <w:rPr>
                <w:rFonts w:asciiTheme="minorHAnsi" w:hAnsiTheme="minorHAnsi" w:cstheme="minorHAnsi"/>
                <w:sz w:val="20"/>
                <w:szCs w:val="20"/>
              </w:rPr>
              <w:t>Where appropriate, earned autonomy approaches will be considered for organisations that make use of the word ‘Anzac’ regularly.</w:t>
            </w:r>
          </w:p>
        </w:tc>
      </w:tr>
      <w:tr w:rsidR="00BF4E7A" w:rsidRPr="0051776C" w:rsidTr="00B5459F">
        <w:trPr>
          <w:cantSplit/>
          <w:trHeight w:val="1666"/>
        </w:trPr>
        <w:tc>
          <w:tcPr>
            <w:tcW w:w="1431" w:type="dxa"/>
            <w:shd w:val="clear" w:color="auto" w:fill="auto"/>
            <w:textDirection w:val="btLr"/>
          </w:tcPr>
          <w:p w:rsidR="00BF4E7A" w:rsidRPr="00BF4E7A" w:rsidRDefault="00BF4E7A" w:rsidP="00BF4E7A">
            <w:pPr>
              <w:ind w:left="113" w:right="113"/>
              <w:jc w:val="center"/>
              <w:rPr>
                <w:rFonts w:asciiTheme="minorHAnsi" w:hAnsiTheme="minorHAnsi" w:cs="Arial"/>
                <w:b/>
                <w:sz w:val="20"/>
                <w:szCs w:val="20"/>
              </w:rPr>
            </w:pPr>
            <w:r w:rsidRPr="00BF4E7A">
              <w:rPr>
                <w:rFonts w:asciiTheme="minorHAnsi" w:hAnsiTheme="minorHAnsi" w:cs="Arial"/>
                <w:b/>
                <w:sz w:val="20"/>
                <w:szCs w:val="20"/>
              </w:rPr>
              <w:lastRenderedPageBreak/>
              <w:t>KPI 5 - Regulators are open and transparent in their dealings with regulated entities</w:t>
            </w:r>
          </w:p>
        </w:tc>
        <w:tc>
          <w:tcPr>
            <w:tcW w:w="4489" w:type="dxa"/>
          </w:tcPr>
          <w:p w:rsidR="00BF4E7A" w:rsidRPr="006C6CBA" w:rsidRDefault="00F3375E" w:rsidP="00BF4E7A">
            <w:pPr>
              <w:pStyle w:val="bullets"/>
              <w:numPr>
                <w:ilvl w:val="0"/>
                <w:numId w:val="8"/>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w:t>
            </w:r>
            <w:r>
              <w:rPr>
                <w:rFonts w:asciiTheme="minorHAnsi" w:hAnsiTheme="minorHAnsi"/>
                <w:sz w:val="20"/>
                <w:szCs w:val="20"/>
              </w:rPr>
              <w:t>s</w:t>
            </w:r>
            <w:r w:rsidR="00F755B1">
              <w:rPr>
                <w:rFonts w:asciiTheme="minorHAnsi" w:hAnsiTheme="minorHAnsi"/>
                <w:sz w:val="20"/>
                <w:szCs w:val="20"/>
              </w:rPr>
              <w:t xml:space="preserve"> risk-based framework</w:t>
            </w:r>
            <w:r w:rsidR="00BF4E7A" w:rsidRPr="006C6CBA">
              <w:rPr>
                <w:rFonts w:asciiTheme="minorHAnsi" w:hAnsiTheme="minorHAnsi"/>
                <w:sz w:val="20"/>
                <w:szCs w:val="20"/>
              </w:rPr>
              <w:t xml:space="preserve"> </w:t>
            </w:r>
            <w:r>
              <w:rPr>
                <w:rFonts w:asciiTheme="minorHAnsi" w:hAnsiTheme="minorHAnsi"/>
                <w:sz w:val="20"/>
                <w:szCs w:val="20"/>
              </w:rPr>
              <w:t>is</w:t>
            </w:r>
            <w:r w:rsidR="00BF4E7A" w:rsidRPr="006C6CBA">
              <w:rPr>
                <w:rFonts w:asciiTheme="minorHAnsi" w:hAnsiTheme="minorHAnsi"/>
                <w:sz w:val="20"/>
                <w:szCs w:val="20"/>
              </w:rPr>
              <w:t xml:space="preserve"> publicly available in a format which is clear, understandable and accessible.</w:t>
            </w:r>
          </w:p>
          <w:p w:rsidR="00BF4E7A" w:rsidRPr="006C6CBA" w:rsidRDefault="00F3375E" w:rsidP="00BF4E7A">
            <w:pPr>
              <w:pStyle w:val="bullets"/>
              <w:numPr>
                <w:ilvl w:val="0"/>
                <w:numId w:val="8"/>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 xml:space="preserve"> </w:t>
            </w:r>
            <w:r>
              <w:rPr>
                <w:rFonts w:asciiTheme="minorHAnsi" w:hAnsiTheme="minorHAnsi"/>
                <w:sz w:val="20"/>
                <w:szCs w:val="20"/>
              </w:rPr>
              <w:t>is</w:t>
            </w:r>
            <w:r w:rsidR="00BF4E7A" w:rsidRPr="006C6CBA">
              <w:rPr>
                <w:rFonts w:asciiTheme="minorHAnsi" w:hAnsiTheme="minorHAnsi"/>
                <w:sz w:val="20"/>
                <w:szCs w:val="20"/>
              </w:rPr>
              <w:t xml:space="preserve"> open and responsive to requests from regulated entities regarding the operation of the regulatory framework, and approaches implemented by regulators.</w:t>
            </w:r>
          </w:p>
          <w:p w:rsidR="00BF4E7A" w:rsidRPr="006C6CBA" w:rsidRDefault="00F3375E" w:rsidP="00BF4E7A">
            <w:pPr>
              <w:pStyle w:val="bullets"/>
              <w:numPr>
                <w:ilvl w:val="0"/>
                <w:numId w:val="8"/>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w:t>
            </w:r>
            <w:r>
              <w:rPr>
                <w:rFonts w:asciiTheme="minorHAnsi" w:hAnsiTheme="minorHAnsi"/>
                <w:sz w:val="20"/>
                <w:szCs w:val="20"/>
              </w:rPr>
              <w:t>s</w:t>
            </w:r>
            <w:r w:rsidR="00BF4E7A" w:rsidRPr="006C6CBA">
              <w:rPr>
                <w:rFonts w:asciiTheme="minorHAnsi" w:hAnsiTheme="minorHAnsi"/>
                <w:sz w:val="20"/>
                <w:szCs w:val="20"/>
              </w:rPr>
              <w:t xml:space="preserve"> performance measurement results are published in a timely manner to ensure accountability to the public.</w:t>
            </w:r>
          </w:p>
        </w:tc>
        <w:tc>
          <w:tcPr>
            <w:tcW w:w="5103" w:type="dxa"/>
          </w:tcPr>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Enforcement strategy and risk approach are published.</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Performance measurement results are published.</w:t>
            </w:r>
          </w:p>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Number of responses to requests from regulated entities provided within specified timeframes.</w:t>
            </w:r>
          </w:p>
          <w:p w:rsidR="00BF4E7A" w:rsidRPr="004324F3" w:rsidRDefault="00BF4E7A" w:rsidP="00BF4E7A">
            <w:pPr>
              <w:pStyle w:val="ListParagraph"/>
              <w:numPr>
                <w:ilvl w:val="0"/>
                <w:numId w:val="3"/>
              </w:numPr>
              <w:spacing w:after="120"/>
              <w:ind w:left="317" w:hanging="283"/>
              <w:rPr>
                <w:rFonts w:asciiTheme="minorHAnsi" w:hAnsiTheme="minorHAnsi" w:cs="TimesNewRomanPSMT"/>
                <w:color w:val="000000" w:themeColor="text1"/>
                <w:sz w:val="20"/>
                <w:szCs w:val="20"/>
                <w:lang w:val="en-GB" w:eastAsia="en-US"/>
              </w:rPr>
            </w:pPr>
            <w:r w:rsidRPr="004324F3">
              <w:rPr>
                <w:rFonts w:asciiTheme="minorHAnsi" w:hAnsiTheme="minorHAnsi" w:cs="TimesNewRomanPSMT"/>
                <w:color w:val="000000" w:themeColor="text1"/>
                <w:sz w:val="20"/>
                <w:szCs w:val="20"/>
                <w:lang w:val="en-GB" w:eastAsia="en-US"/>
              </w:rPr>
              <w:t>Advice and guidance is widely available to stakeholders, with feedback mechanisms in place to support and inform continuous improvement.</w:t>
            </w:r>
          </w:p>
        </w:tc>
        <w:tc>
          <w:tcPr>
            <w:tcW w:w="3929" w:type="dxa"/>
          </w:tcPr>
          <w:p w:rsidR="00BF4E7A" w:rsidRPr="003B5584" w:rsidRDefault="007E309E" w:rsidP="00BF4E7A">
            <w:pPr>
              <w:rPr>
                <w:rFonts w:asciiTheme="minorHAnsi" w:hAnsiTheme="minorHAnsi" w:cstheme="minorHAnsi"/>
                <w:sz w:val="20"/>
                <w:szCs w:val="20"/>
              </w:rPr>
            </w:pPr>
            <w:r w:rsidRPr="003B5584">
              <w:rPr>
                <w:rFonts w:asciiTheme="minorHAnsi" w:hAnsiTheme="minorHAnsi" w:cstheme="minorHAnsi"/>
                <w:sz w:val="20"/>
                <w:szCs w:val="20"/>
              </w:rPr>
              <w:t>The Use of the Word ‘Anzac’ Guidelines will contain information on DVA’s enforcement strategy and risk approach.</w:t>
            </w:r>
          </w:p>
          <w:p w:rsidR="007E309E" w:rsidRPr="003B5584" w:rsidRDefault="007E309E" w:rsidP="00BF4E7A">
            <w:pPr>
              <w:rPr>
                <w:rFonts w:asciiTheme="minorHAnsi" w:hAnsiTheme="minorHAnsi" w:cstheme="minorHAnsi"/>
                <w:sz w:val="20"/>
                <w:szCs w:val="20"/>
              </w:rPr>
            </w:pPr>
          </w:p>
          <w:p w:rsidR="007E309E" w:rsidRPr="003B5584" w:rsidRDefault="007E309E" w:rsidP="00BF4E7A">
            <w:pPr>
              <w:rPr>
                <w:rFonts w:asciiTheme="minorHAnsi" w:hAnsiTheme="minorHAnsi" w:cstheme="minorHAnsi"/>
                <w:sz w:val="20"/>
                <w:szCs w:val="20"/>
              </w:rPr>
            </w:pPr>
            <w:r w:rsidRPr="003B5584">
              <w:rPr>
                <w:rFonts w:asciiTheme="minorHAnsi" w:hAnsiTheme="minorHAnsi" w:cstheme="minorHAnsi"/>
                <w:sz w:val="20"/>
                <w:szCs w:val="20"/>
              </w:rPr>
              <w:t xml:space="preserve">Information on responses will be </w:t>
            </w:r>
            <w:r w:rsidR="00D83D6D">
              <w:rPr>
                <w:rFonts w:asciiTheme="minorHAnsi" w:hAnsiTheme="minorHAnsi" w:cstheme="minorHAnsi"/>
                <w:sz w:val="20"/>
                <w:szCs w:val="20"/>
              </w:rPr>
              <w:t>collected</w:t>
            </w:r>
            <w:r w:rsidR="00F70A2E">
              <w:rPr>
                <w:rFonts w:asciiTheme="minorHAnsi" w:hAnsiTheme="minorHAnsi" w:cstheme="minorHAnsi"/>
                <w:sz w:val="20"/>
                <w:szCs w:val="20"/>
              </w:rPr>
              <w:t>.</w:t>
            </w:r>
          </w:p>
          <w:p w:rsidR="007E309E" w:rsidRPr="003B5584" w:rsidRDefault="007E309E" w:rsidP="00BF4E7A">
            <w:pPr>
              <w:rPr>
                <w:rFonts w:asciiTheme="minorHAnsi" w:hAnsiTheme="minorHAnsi" w:cstheme="minorHAnsi"/>
                <w:sz w:val="20"/>
                <w:szCs w:val="20"/>
              </w:rPr>
            </w:pPr>
          </w:p>
          <w:p w:rsidR="007E309E" w:rsidRPr="003B5584" w:rsidRDefault="007E309E" w:rsidP="00BF4E7A">
            <w:pPr>
              <w:rPr>
                <w:rFonts w:asciiTheme="minorHAnsi" w:hAnsiTheme="minorHAnsi" w:cstheme="minorHAnsi"/>
                <w:sz w:val="20"/>
                <w:szCs w:val="20"/>
              </w:rPr>
            </w:pPr>
            <w:r w:rsidRPr="003B5584">
              <w:rPr>
                <w:rFonts w:asciiTheme="minorHAnsi" w:hAnsiTheme="minorHAnsi" w:cstheme="minorHAnsi"/>
                <w:sz w:val="20"/>
                <w:szCs w:val="20"/>
              </w:rPr>
              <w:t>The Guidelines will include information for the public.  Feedback will be used to update the Guidelines as necessary.</w:t>
            </w:r>
          </w:p>
        </w:tc>
      </w:tr>
      <w:tr w:rsidR="00BF4E7A" w:rsidRPr="0051776C" w:rsidTr="007E309E">
        <w:trPr>
          <w:cantSplit/>
          <w:trHeight w:val="3140"/>
        </w:trPr>
        <w:tc>
          <w:tcPr>
            <w:tcW w:w="1431" w:type="dxa"/>
            <w:shd w:val="clear" w:color="auto" w:fill="auto"/>
            <w:textDirection w:val="btLr"/>
          </w:tcPr>
          <w:p w:rsidR="00BF4E7A" w:rsidRPr="00BF4E7A" w:rsidRDefault="00BF4E7A" w:rsidP="00BF4E7A">
            <w:pPr>
              <w:ind w:left="113" w:right="113"/>
              <w:jc w:val="center"/>
              <w:rPr>
                <w:rFonts w:asciiTheme="minorHAnsi" w:hAnsiTheme="minorHAnsi" w:cs="Arial"/>
                <w:b/>
                <w:sz w:val="20"/>
                <w:szCs w:val="20"/>
              </w:rPr>
            </w:pPr>
            <w:r w:rsidRPr="00BF4E7A">
              <w:rPr>
                <w:rFonts w:asciiTheme="minorHAnsi" w:hAnsiTheme="minorHAnsi" w:cs="Arial"/>
                <w:b/>
                <w:sz w:val="20"/>
                <w:szCs w:val="20"/>
              </w:rPr>
              <w:t>KPI 6 – Regulators actively contribute to the continuous improvement of regulatory frameworks</w:t>
            </w:r>
          </w:p>
        </w:tc>
        <w:tc>
          <w:tcPr>
            <w:tcW w:w="4489" w:type="dxa"/>
          </w:tcPr>
          <w:p w:rsidR="00BF4E7A" w:rsidRPr="007E309E" w:rsidRDefault="00F3375E" w:rsidP="007E309E">
            <w:pPr>
              <w:pStyle w:val="bullets"/>
              <w:numPr>
                <w:ilvl w:val="0"/>
                <w:numId w:val="9"/>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 xml:space="preserve"> establish</w:t>
            </w:r>
            <w:r>
              <w:rPr>
                <w:rFonts w:asciiTheme="minorHAnsi" w:hAnsiTheme="minorHAnsi"/>
                <w:sz w:val="20"/>
                <w:szCs w:val="20"/>
              </w:rPr>
              <w:t>es</w:t>
            </w:r>
            <w:r w:rsidR="00BF4E7A" w:rsidRPr="006C6CBA">
              <w:rPr>
                <w:rFonts w:asciiTheme="minorHAnsi" w:hAnsiTheme="minorHAnsi"/>
                <w:sz w:val="20"/>
                <w:szCs w:val="20"/>
              </w:rPr>
              <w:t xml:space="preserve"> cooperative and collaborative relationships with stakeholders to promote trust and improve the efficiency and effectiveness of the regulatory framework.</w:t>
            </w:r>
          </w:p>
          <w:p w:rsidR="00BF4E7A" w:rsidRPr="006C6CBA" w:rsidRDefault="00F3375E" w:rsidP="00BF4E7A">
            <w:pPr>
              <w:pStyle w:val="bullets"/>
              <w:numPr>
                <w:ilvl w:val="0"/>
                <w:numId w:val="9"/>
              </w:numPr>
              <w:spacing w:after="120" w:line="240" w:lineRule="auto"/>
              <w:rPr>
                <w:rFonts w:asciiTheme="minorHAnsi" w:hAnsiTheme="minorHAnsi"/>
                <w:sz w:val="20"/>
                <w:szCs w:val="20"/>
              </w:rPr>
            </w:pPr>
            <w:r>
              <w:rPr>
                <w:rFonts w:asciiTheme="minorHAnsi" w:hAnsiTheme="minorHAnsi"/>
                <w:sz w:val="20"/>
                <w:szCs w:val="20"/>
              </w:rPr>
              <w:t>DVA</w:t>
            </w:r>
            <w:r w:rsidR="00BF4E7A" w:rsidRPr="006C6CBA">
              <w:rPr>
                <w:rFonts w:asciiTheme="minorHAnsi" w:hAnsiTheme="minorHAnsi"/>
                <w:sz w:val="20"/>
                <w:szCs w:val="20"/>
              </w:rPr>
              <w:t xml:space="preserve"> regularly share</w:t>
            </w:r>
            <w:r>
              <w:rPr>
                <w:rFonts w:asciiTheme="minorHAnsi" w:hAnsiTheme="minorHAnsi"/>
                <w:sz w:val="20"/>
                <w:szCs w:val="20"/>
              </w:rPr>
              <w:t>s</w:t>
            </w:r>
            <w:r w:rsidR="00BF4E7A" w:rsidRPr="006C6CBA">
              <w:rPr>
                <w:rFonts w:asciiTheme="minorHAnsi" w:hAnsiTheme="minorHAnsi"/>
                <w:sz w:val="20"/>
                <w:szCs w:val="20"/>
              </w:rPr>
              <w:t xml:space="preserve"> feedback from stakeholders and performance information (including from inspections) with policy departments to improve the operation of the regulatory framework and administrative processes.</w:t>
            </w:r>
          </w:p>
        </w:tc>
        <w:tc>
          <w:tcPr>
            <w:tcW w:w="5103" w:type="dxa"/>
          </w:tcPr>
          <w:p w:rsidR="00BF4E7A" w:rsidRPr="004324F3" w:rsidRDefault="00BF4E7A" w:rsidP="00BF4E7A">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Feedback mechanisms are available and made known to all stakeholders.</w:t>
            </w:r>
          </w:p>
          <w:p w:rsidR="00BF4E7A" w:rsidRPr="007E309E" w:rsidRDefault="00BF4E7A" w:rsidP="007E309E">
            <w:pPr>
              <w:pStyle w:val="bullets"/>
              <w:numPr>
                <w:ilvl w:val="0"/>
                <w:numId w:val="3"/>
              </w:numPr>
              <w:spacing w:after="120" w:line="240" w:lineRule="auto"/>
              <w:ind w:left="317" w:hanging="283"/>
              <w:rPr>
                <w:rFonts w:asciiTheme="minorHAnsi" w:hAnsiTheme="minorHAnsi"/>
                <w:sz w:val="20"/>
                <w:szCs w:val="20"/>
              </w:rPr>
            </w:pPr>
            <w:r w:rsidRPr="004324F3">
              <w:rPr>
                <w:rFonts w:asciiTheme="minorHAnsi" w:hAnsiTheme="minorHAnsi"/>
                <w:sz w:val="20"/>
                <w:szCs w:val="20"/>
              </w:rPr>
              <w:t>Documented procedures are in place to facilitate the flow of information between the regulator and policy departments.</w:t>
            </w:r>
          </w:p>
        </w:tc>
        <w:tc>
          <w:tcPr>
            <w:tcW w:w="3929" w:type="dxa"/>
          </w:tcPr>
          <w:p w:rsidR="00BF4E7A" w:rsidRPr="003B5584" w:rsidRDefault="00D83D6D" w:rsidP="00BF4E7A">
            <w:pPr>
              <w:rPr>
                <w:rFonts w:asciiTheme="minorHAnsi" w:hAnsiTheme="minorHAnsi" w:cstheme="minorHAnsi"/>
                <w:sz w:val="20"/>
                <w:szCs w:val="20"/>
              </w:rPr>
            </w:pPr>
            <w:r>
              <w:rPr>
                <w:rFonts w:asciiTheme="minorHAnsi" w:hAnsiTheme="minorHAnsi" w:cstheme="minorHAnsi"/>
                <w:sz w:val="20"/>
                <w:szCs w:val="20"/>
              </w:rPr>
              <w:t>The</w:t>
            </w:r>
            <w:r w:rsidR="007E309E" w:rsidRPr="003B5584">
              <w:rPr>
                <w:rFonts w:asciiTheme="minorHAnsi" w:hAnsiTheme="minorHAnsi" w:cstheme="minorHAnsi"/>
                <w:sz w:val="20"/>
                <w:szCs w:val="20"/>
              </w:rPr>
              <w:t xml:space="preserve"> Use of the Word ‘Anzac’ Guidelines</w:t>
            </w:r>
            <w:r>
              <w:rPr>
                <w:rFonts w:asciiTheme="minorHAnsi" w:hAnsiTheme="minorHAnsi" w:cstheme="minorHAnsi"/>
                <w:sz w:val="20"/>
                <w:szCs w:val="20"/>
              </w:rPr>
              <w:t xml:space="preserve"> will contain feedback mechanisms</w:t>
            </w:r>
            <w:r w:rsidR="007E309E" w:rsidRPr="003B5584">
              <w:rPr>
                <w:rFonts w:asciiTheme="minorHAnsi" w:hAnsiTheme="minorHAnsi" w:cstheme="minorHAnsi"/>
                <w:sz w:val="20"/>
                <w:szCs w:val="20"/>
              </w:rPr>
              <w:t>.</w:t>
            </w:r>
          </w:p>
          <w:p w:rsidR="007E309E" w:rsidRPr="003B5584" w:rsidRDefault="007E309E" w:rsidP="00BF4E7A">
            <w:pPr>
              <w:rPr>
                <w:rFonts w:asciiTheme="minorHAnsi" w:hAnsiTheme="minorHAnsi" w:cstheme="minorHAnsi"/>
                <w:sz w:val="20"/>
                <w:szCs w:val="20"/>
              </w:rPr>
            </w:pPr>
          </w:p>
          <w:p w:rsidR="007E309E" w:rsidRPr="003B5584" w:rsidRDefault="007E309E" w:rsidP="00BF4E7A">
            <w:pPr>
              <w:rPr>
                <w:rFonts w:asciiTheme="minorHAnsi" w:hAnsiTheme="minorHAnsi" w:cstheme="minorHAnsi"/>
                <w:sz w:val="20"/>
                <w:szCs w:val="20"/>
              </w:rPr>
            </w:pPr>
          </w:p>
          <w:p w:rsidR="007E309E" w:rsidRPr="003B5584" w:rsidRDefault="00D83D6D" w:rsidP="00BF4E7A">
            <w:pPr>
              <w:rPr>
                <w:rFonts w:asciiTheme="minorHAnsi" w:hAnsiTheme="minorHAnsi" w:cstheme="minorHAnsi"/>
                <w:sz w:val="20"/>
                <w:szCs w:val="20"/>
              </w:rPr>
            </w:pPr>
            <w:r w:rsidRPr="003B5584">
              <w:rPr>
                <w:rFonts w:asciiTheme="minorHAnsi" w:hAnsiTheme="minorHAnsi" w:cstheme="minorHAnsi"/>
                <w:sz w:val="20"/>
                <w:szCs w:val="20"/>
              </w:rPr>
              <w:t>A policy document outlining internal processes for use of the word ‘Anzac’, including standard words and templates will be made available to DVA staff.</w:t>
            </w:r>
          </w:p>
        </w:tc>
      </w:tr>
    </w:tbl>
    <w:p w:rsidR="00BF4E7A" w:rsidRDefault="00BF4E7A" w:rsidP="00BF4E7A">
      <w:pPr>
        <w:rPr>
          <w:rFonts w:ascii="Calibri" w:hAnsi="Calibri"/>
        </w:rPr>
      </w:pPr>
    </w:p>
    <w:sectPr w:rsidR="00BF4E7A" w:rsidSect="00144108">
      <w:pgSz w:w="16838" w:h="11906" w:orient="landscape" w:code="9"/>
      <w:pgMar w:top="993" w:right="1134"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05B" w:rsidRDefault="00A7005B" w:rsidP="00684ED8">
      <w:r>
        <w:separator/>
      </w:r>
    </w:p>
  </w:endnote>
  <w:endnote w:type="continuationSeparator" w:id="0">
    <w:p w:rsidR="00A7005B" w:rsidRDefault="00A7005B" w:rsidP="0068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vantGarde-Demi">
    <w:altName w:val="B Avant Garde 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05B" w:rsidRDefault="00A7005B" w:rsidP="00684ED8">
      <w:r>
        <w:separator/>
      </w:r>
    </w:p>
  </w:footnote>
  <w:footnote w:type="continuationSeparator" w:id="0">
    <w:p w:rsidR="00A7005B" w:rsidRDefault="00A7005B" w:rsidP="00684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61E3"/>
    <w:multiLevelType w:val="hybridMultilevel"/>
    <w:tmpl w:val="0F58E5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1C903B7"/>
    <w:multiLevelType w:val="hybridMultilevel"/>
    <w:tmpl w:val="76CC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57037"/>
    <w:multiLevelType w:val="hybridMultilevel"/>
    <w:tmpl w:val="F7AE4F6C"/>
    <w:lvl w:ilvl="0" w:tplc="06DEEB0C">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632551"/>
    <w:multiLevelType w:val="hybridMultilevel"/>
    <w:tmpl w:val="8684FE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B1412E6"/>
    <w:multiLevelType w:val="hybridMultilevel"/>
    <w:tmpl w:val="EA7E80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237A92"/>
    <w:multiLevelType w:val="hybridMultilevel"/>
    <w:tmpl w:val="F3B04B9E"/>
    <w:lvl w:ilvl="0" w:tplc="C71E4B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E0C3FB9"/>
    <w:multiLevelType w:val="hybridMultilevel"/>
    <w:tmpl w:val="BA3C30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8FA38D1"/>
    <w:multiLevelType w:val="hybridMultilevel"/>
    <w:tmpl w:val="F3B04B9E"/>
    <w:lvl w:ilvl="0" w:tplc="C71E4B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A5535E9"/>
    <w:multiLevelType w:val="hybridMultilevel"/>
    <w:tmpl w:val="F7AE4F6C"/>
    <w:lvl w:ilvl="0" w:tplc="06DEEB0C">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6F1801"/>
    <w:multiLevelType w:val="hybridMultilevel"/>
    <w:tmpl w:val="2E0AC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385195"/>
    <w:multiLevelType w:val="hybridMultilevel"/>
    <w:tmpl w:val="31A291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F316B93"/>
    <w:multiLevelType w:val="hybridMultilevel"/>
    <w:tmpl w:val="640206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
  </w:num>
  <w:num w:numId="3">
    <w:abstractNumId w:val="1"/>
  </w:num>
  <w:num w:numId="4">
    <w:abstractNumId w:val="5"/>
  </w:num>
  <w:num w:numId="5">
    <w:abstractNumId w:val="7"/>
  </w:num>
  <w:num w:numId="6">
    <w:abstractNumId w:val="10"/>
  </w:num>
  <w:num w:numId="7">
    <w:abstractNumId w:val="0"/>
  </w:num>
  <w:num w:numId="8">
    <w:abstractNumId w:val="6"/>
  </w:num>
  <w:num w:numId="9">
    <w:abstractNumId w:val="11"/>
  </w:num>
  <w:num w:numId="10">
    <w:abstractNumId w:val="3"/>
  </w:num>
  <w:num w:numId="11">
    <w:abstractNumId w:val="8"/>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D8"/>
    <w:rsid w:val="0002026F"/>
    <w:rsid w:val="0002475F"/>
    <w:rsid w:val="000543FC"/>
    <w:rsid w:val="00063546"/>
    <w:rsid w:val="00067679"/>
    <w:rsid w:val="00075119"/>
    <w:rsid w:val="000B0BD5"/>
    <w:rsid w:val="000C0F0E"/>
    <w:rsid w:val="00123F3C"/>
    <w:rsid w:val="00144108"/>
    <w:rsid w:val="00146BC1"/>
    <w:rsid w:val="00167098"/>
    <w:rsid w:val="00197666"/>
    <w:rsid w:val="001A03B6"/>
    <w:rsid w:val="001B365B"/>
    <w:rsid w:val="00266047"/>
    <w:rsid w:val="002937B6"/>
    <w:rsid w:val="002956A2"/>
    <w:rsid w:val="002A70D6"/>
    <w:rsid w:val="002D3F75"/>
    <w:rsid w:val="002E7557"/>
    <w:rsid w:val="00301866"/>
    <w:rsid w:val="00333A1F"/>
    <w:rsid w:val="003462EE"/>
    <w:rsid w:val="003B5584"/>
    <w:rsid w:val="003D7D51"/>
    <w:rsid w:val="003E7A42"/>
    <w:rsid w:val="004219D8"/>
    <w:rsid w:val="004221BC"/>
    <w:rsid w:val="004255EC"/>
    <w:rsid w:val="004324F3"/>
    <w:rsid w:val="00440538"/>
    <w:rsid w:val="00476FE9"/>
    <w:rsid w:val="004920A7"/>
    <w:rsid w:val="004A6E3E"/>
    <w:rsid w:val="004D1A29"/>
    <w:rsid w:val="004D7B05"/>
    <w:rsid w:val="004F65F5"/>
    <w:rsid w:val="005139F4"/>
    <w:rsid w:val="00520C02"/>
    <w:rsid w:val="00525F90"/>
    <w:rsid w:val="00540C90"/>
    <w:rsid w:val="00572981"/>
    <w:rsid w:val="0059617E"/>
    <w:rsid w:val="005E0319"/>
    <w:rsid w:val="005E0726"/>
    <w:rsid w:val="005E6D97"/>
    <w:rsid w:val="006018AF"/>
    <w:rsid w:val="00603829"/>
    <w:rsid w:val="00623DB3"/>
    <w:rsid w:val="00683CF9"/>
    <w:rsid w:val="00684ED8"/>
    <w:rsid w:val="006932BD"/>
    <w:rsid w:val="006B2751"/>
    <w:rsid w:val="006C6CBA"/>
    <w:rsid w:val="0070544F"/>
    <w:rsid w:val="007119B7"/>
    <w:rsid w:val="0072623E"/>
    <w:rsid w:val="007B2702"/>
    <w:rsid w:val="007B317E"/>
    <w:rsid w:val="007B6F6F"/>
    <w:rsid w:val="007E309E"/>
    <w:rsid w:val="00822486"/>
    <w:rsid w:val="0083659A"/>
    <w:rsid w:val="0088314C"/>
    <w:rsid w:val="00887AA3"/>
    <w:rsid w:val="008A0BF6"/>
    <w:rsid w:val="008A4593"/>
    <w:rsid w:val="008B2B6B"/>
    <w:rsid w:val="008E51A2"/>
    <w:rsid w:val="009047CA"/>
    <w:rsid w:val="00906C20"/>
    <w:rsid w:val="00915098"/>
    <w:rsid w:val="00935DB1"/>
    <w:rsid w:val="009406B2"/>
    <w:rsid w:val="00971BD8"/>
    <w:rsid w:val="009A7124"/>
    <w:rsid w:val="009C4126"/>
    <w:rsid w:val="009E5402"/>
    <w:rsid w:val="00A03385"/>
    <w:rsid w:val="00A131DB"/>
    <w:rsid w:val="00A258B3"/>
    <w:rsid w:val="00A2788F"/>
    <w:rsid w:val="00A553F8"/>
    <w:rsid w:val="00A66946"/>
    <w:rsid w:val="00A7005B"/>
    <w:rsid w:val="00B02D9B"/>
    <w:rsid w:val="00B162D0"/>
    <w:rsid w:val="00B5459F"/>
    <w:rsid w:val="00B9016E"/>
    <w:rsid w:val="00B955E7"/>
    <w:rsid w:val="00BA4499"/>
    <w:rsid w:val="00BD01A5"/>
    <w:rsid w:val="00BF4E7A"/>
    <w:rsid w:val="00C04BE1"/>
    <w:rsid w:val="00C06B38"/>
    <w:rsid w:val="00C567E5"/>
    <w:rsid w:val="00C5685A"/>
    <w:rsid w:val="00C905F2"/>
    <w:rsid w:val="00CB0137"/>
    <w:rsid w:val="00CC644C"/>
    <w:rsid w:val="00CD51F5"/>
    <w:rsid w:val="00D02642"/>
    <w:rsid w:val="00D17024"/>
    <w:rsid w:val="00D32B13"/>
    <w:rsid w:val="00D349A8"/>
    <w:rsid w:val="00D44E53"/>
    <w:rsid w:val="00D62F2D"/>
    <w:rsid w:val="00D83D6D"/>
    <w:rsid w:val="00D906C4"/>
    <w:rsid w:val="00DA4E5B"/>
    <w:rsid w:val="00DF3F20"/>
    <w:rsid w:val="00E14C0E"/>
    <w:rsid w:val="00E33533"/>
    <w:rsid w:val="00EB0909"/>
    <w:rsid w:val="00EF6B64"/>
    <w:rsid w:val="00F04FFF"/>
    <w:rsid w:val="00F22590"/>
    <w:rsid w:val="00F3375E"/>
    <w:rsid w:val="00F33CCE"/>
    <w:rsid w:val="00F70A2E"/>
    <w:rsid w:val="00F755B1"/>
    <w:rsid w:val="00F75B85"/>
    <w:rsid w:val="00F84E2C"/>
    <w:rsid w:val="00FE5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ED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684ED8"/>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84ED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84ED8"/>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84ED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ED8"/>
    <w:pPr>
      <w:tabs>
        <w:tab w:val="center" w:pos="4153"/>
        <w:tab w:val="right" w:pos="8306"/>
      </w:tabs>
    </w:pPr>
  </w:style>
  <w:style w:type="character" w:customStyle="1" w:styleId="HeaderChar">
    <w:name w:val="Header Char"/>
    <w:basedOn w:val="DefaultParagraphFont"/>
    <w:link w:val="Header"/>
    <w:rsid w:val="00684ED8"/>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684ED8"/>
    <w:pPr>
      <w:tabs>
        <w:tab w:val="center" w:pos="4153"/>
        <w:tab w:val="right" w:pos="8306"/>
      </w:tabs>
    </w:pPr>
  </w:style>
  <w:style w:type="character" w:customStyle="1" w:styleId="FooterChar">
    <w:name w:val="Footer Char"/>
    <w:basedOn w:val="DefaultParagraphFont"/>
    <w:link w:val="Footer"/>
    <w:uiPriority w:val="99"/>
    <w:rsid w:val="00684ED8"/>
    <w:rPr>
      <w:rFonts w:ascii="Times New Roman" w:eastAsia="Times New Roman" w:hAnsi="Times New Roman" w:cs="Times New Roman"/>
      <w:sz w:val="24"/>
      <w:szCs w:val="24"/>
      <w:lang w:eastAsia="en-AU"/>
    </w:rPr>
  </w:style>
  <w:style w:type="character" w:styleId="PageNumber">
    <w:name w:val="page number"/>
    <w:basedOn w:val="DefaultParagraphFont"/>
    <w:rsid w:val="00684ED8"/>
  </w:style>
  <w:style w:type="character" w:customStyle="1" w:styleId="Heading1Char">
    <w:name w:val="Heading 1 Char"/>
    <w:basedOn w:val="DefaultParagraphFont"/>
    <w:link w:val="Heading1"/>
    <w:uiPriority w:val="9"/>
    <w:rsid w:val="00684ED8"/>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684ED8"/>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684ED8"/>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684ED8"/>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684ED8"/>
    <w:rPr>
      <w:color w:val="0000FF"/>
      <w:u w:val="single"/>
    </w:rPr>
  </w:style>
  <w:style w:type="paragraph" w:styleId="NormalWeb">
    <w:name w:val="Normal (Web)"/>
    <w:basedOn w:val="Normal"/>
    <w:uiPriority w:val="99"/>
    <w:unhideWhenUsed/>
    <w:rsid w:val="00684ED8"/>
    <w:pPr>
      <w:spacing w:before="100" w:beforeAutospacing="1" w:after="100" w:afterAutospacing="1"/>
    </w:pPr>
  </w:style>
  <w:style w:type="character" w:styleId="Strong">
    <w:name w:val="Strong"/>
    <w:basedOn w:val="DefaultParagraphFont"/>
    <w:uiPriority w:val="22"/>
    <w:qFormat/>
    <w:rsid w:val="00684ED8"/>
    <w:rPr>
      <w:b/>
      <w:bCs/>
    </w:rPr>
  </w:style>
  <w:style w:type="character" w:styleId="Emphasis">
    <w:name w:val="Emphasis"/>
    <w:basedOn w:val="DefaultParagraphFont"/>
    <w:uiPriority w:val="20"/>
    <w:qFormat/>
    <w:rsid w:val="00684ED8"/>
    <w:rPr>
      <w:i/>
      <w:iCs/>
    </w:rPr>
  </w:style>
  <w:style w:type="paragraph" w:styleId="ListParagraph">
    <w:name w:val="List Paragraph"/>
    <w:basedOn w:val="Normal"/>
    <w:uiPriority w:val="34"/>
    <w:qFormat/>
    <w:rsid w:val="00525F90"/>
    <w:pPr>
      <w:ind w:left="720"/>
      <w:contextualSpacing/>
    </w:pPr>
  </w:style>
  <w:style w:type="table" w:styleId="TableGrid">
    <w:name w:val="Table Grid"/>
    <w:basedOn w:val="TableNormal"/>
    <w:uiPriority w:val="59"/>
    <w:rsid w:val="00836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49A8"/>
    <w:rPr>
      <w:sz w:val="16"/>
      <w:szCs w:val="16"/>
    </w:rPr>
  </w:style>
  <w:style w:type="paragraph" w:styleId="CommentText">
    <w:name w:val="annotation text"/>
    <w:basedOn w:val="Normal"/>
    <w:link w:val="CommentTextChar"/>
    <w:uiPriority w:val="99"/>
    <w:semiHidden/>
    <w:unhideWhenUsed/>
    <w:rsid w:val="00D349A8"/>
    <w:rPr>
      <w:sz w:val="20"/>
      <w:szCs w:val="20"/>
    </w:rPr>
  </w:style>
  <w:style w:type="character" w:customStyle="1" w:styleId="CommentTextChar">
    <w:name w:val="Comment Text Char"/>
    <w:basedOn w:val="DefaultParagraphFont"/>
    <w:link w:val="CommentText"/>
    <w:uiPriority w:val="99"/>
    <w:semiHidden/>
    <w:rsid w:val="00D349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349A8"/>
    <w:rPr>
      <w:b/>
      <w:bCs/>
    </w:rPr>
  </w:style>
  <w:style w:type="character" w:customStyle="1" w:styleId="CommentSubjectChar">
    <w:name w:val="Comment Subject Char"/>
    <w:basedOn w:val="CommentTextChar"/>
    <w:link w:val="CommentSubject"/>
    <w:uiPriority w:val="99"/>
    <w:semiHidden/>
    <w:rsid w:val="00D349A8"/>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D349A8"/>
    <w:rPr>
      <w:rFonts w:ascii="Tahoma" w:hAnsi="Tahoma" w:cs="Tahoma"/>
      <w:sz w:val="16"/>
      <w:szCs w:val="16"/>
    </w:rPr>
  </w:style>
  <w:style w:type="character" w:customStyle="1" w:styleId="BalloonTextChar">
    <w:name w:val="Balloon Text Char"/>
    <w:basedOn w:val="DefaultParagraphFont"/>
    <w:link w:val="BalloonText"/>
    <w:uiPriority w:val="99"/>
    <w:semiHidden/>
    <w:rsid w:val="00D349A8"/>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3D7D51"/>
    <w:rPr>
      <w:color w:val="800080" w:themeColor="followedHyperlink"/>
      <w:u w:val="single"/>
    </w:rPr>
  </w:style>
  <w:style w:type="paragraph" w:customStyle="1" w:styleId="bullets">
    <w:name w:val="bullets"/>
    <w:basedOn w:val="Normal"/>
    <w:uiPriority w:val="99"/>
    <w:rsid w:val="00E14C0E"/>
    <w:pPr>
      <w:widowControl w:val="0"/>
      <w:suppressAutoHyphens/>
      <w:autoSpaceDE w:val="0"/>
      <w:autoSpaceDN w:val="0"/>
      <w:adjustRightInd w:val="0"/>
      <w:spacing w:after="85" w:line="230" w:lineRule="atLeast"/>
      <w:ind w:left="170" w:hanging="170"/>
      <w:textAlignment w:val="center"/>
    </w:pPr>
    <w:rPr>
      <w:rFonts w:ascii="TimesNewRomanPSMT" w:hAnsi="TimesNewRomanPSMT" w:cs="TimesNewRomanPSMT"/>
      <w:color w:val="000000" w:themeColor="text1"/>
      <w:lang w:val="en-GB" w:eastAsia="en-US"/>
    </w:rPr>
  </w:style>
  <w:style w:type="paragraph" w:customStyle="1" w:styleId="introboxtext-chapterpage">
    <w:name w:val="intro box text - chapter page"/>
    <w:basedOn w:val="Normal"/>
    <w:uiPriority w:val="99"/>
    <w:rsid w:val="00E14C0E"/>
    <w:pPr>
      <w:widowControl w:val="0"/>
      <w:tabs>
        <w:tab w:val="left" w:pos="283"/>
      </w:tabs>
      <w:suppressAutoHyphens/>
      <w:autoSpaceDE w:val="0"/>
      <w:autoSpaceDN w:val="0"/>
      <w:adjustRightInd w:val="0"/>
      <w:spacing w:after="170" w:line="240" w:lineRule="atLeast"/>
      <w:textAlignment w:val="center"/>
    </w:pPr>
    <w:rPr>
      <w:rFonts w:ascii="AvantGarde-Demi" w:hAnsi="AvantGarde-Demi" w:cs="AvantGarde-Demi"/>
      <w:color w:val="FFFFFF"/>
      <w:spacing w:val="6"/>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403">
      <w:bodyDiv w:val="1"/>
      <w:marLeft w:val="0"/>
      <w:marRight w:val="0"/>
      <w:marTop w:val="0"/>
      <w:marBottom w:val="0"/>
      <w:divBdr>
        <w:top w:val="none" w:sz="0" w:space="0" w:color="auto"/>
        <w:left w:val="none" w:sz="0" w:space="0" w:color="auto"/>
        <w:bottom w:val="none" w:sz="0" w:space="0" w:color="auto"/>
        <w:right w:val="none" w:sz="0" w:space="0" w:color="auto"/>
      </w:divBdr>
      <w:divsChild>
        <w:div w:id="441458637">
          <w:marLeft w:val="0"/>
          <w:marRight w:val="0"/>
          <w:marTop w:val="0"/>
          <w:marBottom w:val="0"/>
          <w:divBdr>
            <w:top w:val="none" w:sz="0" w:space="0" w:color="auto"/>
            <w:left w:val="none" w:sz="0" w:space="0" w:color="auto"/>
            <w:bottom w:val="none" w:sz="0" w:space="0" w:color="auto"/>
            <w:right w:val="none" w:sz="0" w:space="0" w:color="auto"/>
          </w:divBdr>
          <w:divsChild>
            <w:div w:id="1687831033">
              <w:marLeft w:val="0"/>
              <w:marRight w:val="0"/>
              <w:marTop w:val="0"/>
              <w:marBottom w:val="0"/>
              <w:divBdr>
                <w:top w:val="none" w:sz="0" w:space="0" w:color="auto"/>
                <w:left w:val="none" w:sz="0" w:space="0" w:color="auto"/>
                <w:bottom w:val="none" w:sz="0" w:space="0" w:color="auto"/>
                <w:right w:val="none" w:sz="0" w:space="0" w:color="auto"/>
              </w:divBdr>
              <w:divsChild>
                <w:div w:id="1335456785">
                  <w:marLeft w:val="0"/>
                  <w:marRight w:val="0"/>
                  <w:marTop w:val="0"/>
                  <w:marBottom w:val="0"/>
                  <w:divBdr>
                    <w:top w:val="none" w:sz="0" w:space="0" w:color="auto"/>
                    <w:left w:val="none" w:sz="0" w:space="0" w:color="auto"/>
                    <w:bottom w:val="none" w:sz="0" w:space="0" w:color="auto"/>
                    <w:right w:val="none" w:sz="0" w:space="0" w:color="auto"/>
                  </w:divBdr>
                  <w:divsChild>
                    <w:div w:id="2116552616">
                      <w:marLeft w:val="150"/>
                      <w:marRight w:val="150"/>
                      <w:marTop w:val="0"/>
                      <w:marBottom w:val="0"/>
                      <w:divBdr>
                        <w:top w:val="none" w:sz="0" w:space="0" w:color="auto"/>
                        <w:left w:val="none" w:sz="0" w:space="0" w:color="auto"/>
                        <w:bottom w:val="none" w:sz="0" w:space="0" w:color="auto"/>
                        <w:right w:val="none" w:sz="0" w:space="0" w:color="auto"/>
                      </w:divBdr>
                      <w:divsChild>
                        <w:div w:id="17440270">
                          <w:marLeft w:val="0"/>
                          <w:marRight w:val="0"/>
                          <w:marTop w:val="0"/>
                          <w:marBottom w:val="0"/>
                          <w:divBdr>
                            <w:top w:val="none" w:sz="0" w:space="0" w:color="auto"/>
                            <w:left w:val="none" w:sz="0" w:space="0" w:color="auto"/>
                            <w:bottom w:val="none" w:sz="0" w:space="0" w:color="auto"/>
                            <w:right w:val="none" w:sz="0" w:space="0" w:color="auto"/>
                          </w:divBdr>
                          <w:divsChild>
                            <w:div w:id="2007704785">
                              <w:marLeft w:val="0"/>
                              <w:marRight w:val="0"/>
                              <w:marTop w:val="0"/>
                              <w:marBottom w:val="0"/>
                              <w:divBdr>
                                <w:top w:val="none" w:sz="0" w:space="0" w:color="auto"/>
                                <w:left w:val="none" w:sz="0" w:space="0" w:color="auto"/>
                                <w:bottom w:val="none" w:sz="0" w:space="0" w:color="auto"/>
                                <w:right w:val="none" w:sz="0" w:space="0" w:color="auto"/>
                              </w:divBdr>
                              <w:divsChild>
                                <w:div w:id="603999664">
                                  <w:marLeft w:val="0"/>
                                  <w:marRight w:val="0"/>
                                  <w:marTop w:val="0"/>
                                  <w:marBottom w:val="0"/>
                                  <w:divBdr>
                                    <w:top w:val="none" w:sz="0" w:space="0" w:color="auto"/>
                                    <w:left w:val="none" w:sz="0" w:space="0" w:color="auto"/>
                                    <w:bottom w:val="none" w:sz="0" w:space="0" w:color="auto"/>
                                    <w:right w:val="none" w:sz="0" w:space="0" w:color="auto"/>
                                  </w:divBdr>
                                  <w:divsChild>
                                    <w:div w:id="1775636775">
                                      <w:marLeft w:val="0"/>
                                      <w:marRight w:val="0"/>
                                      <w:marTop w:val="0"/>
                                      <w:marBottom w:val="0"/>
                                      <w:divBdr>
                                        <w:top w:val="none" w:sz="0" w:space="0" w:color="auto"/>
                                        <w:left w:val="none" w:sz="0" w:space="0" w:color="auto"/>
                                        <w:bottom w:val="none" w:sz="0" w:space="0" w:color="auto"/>
                                        <w:right w:val="none" w:sz="0" w:space="0" w:color="auto"/>
                                      </w:divBdr>
                                      <w:divsChild>
                                        <w:div w:id="1514225307">
                                          <w:marLeft w:val="0"/>
                                          <w:marRight w:val="0"/>
                                          <w:marTop w:val="0"/>
                                          <w:marBottom w:val="0"/>
                                          <w:divBdr>
                                            <w:top w:val="none" w:sz="0" w:space="0" w:color="auto"/>
                                            <w:left w:val="none" w:sz="0" w:space="0" w:color="auto"/>
                                            <w:bottom w:val="none" w:sz="0" w:space="0" w:color="auto"/>
                                            <w:right w:val="none" w:sz="0" w:space="0" w:color="auto"/>
                                          </w:divBdr>
                                          <w:divsChild>
                                            <w:div w:id="1236278096">
                                              <w:marLeft w:val="0"/>
                                              <w:marRight w:val="0"/>
                                              <w:marTop w:val="0"/>
                                              <w:marBottom w:val="0"/>
                                              <w:divBdr>
                                                <w:top w:val="none" w:sz="0" w:space="0" w:color="auto"/>
                                                <w:left w:val="none" w:sz="0" w:space="0" w:color="auto"/>
                                                <w:bottom w:val="none" w:sz="0" w:space="0" w:color="auto"/>
                                                <w:right w:val="none" w:sz="0" w:space="0" w:color="auto"/>
                                              </w:divBdr>
                                              <w:divsChild>
                                                <w:div w:id="1342077652">
                                                  <w:marLeft w:val="0"/>
                                                  <w:marRight w:val="0"/>
                                                  <w:marTop w:val="0"/>
                                                  <w:marBottom w:val="0"/>
                                                  <w:divBdr>
                                                    <w:top w:val="none" w:sz="0" w:space="0" w:color="auto"/>
                                                    <w:left w:val="none" w:sz="0" w:space="0" w:color="auto"/>
                                                    <w:bottom w:val="none" w:sz="0" w:space="0" w:color="auto"/>
                                                    <w:right w:val="none" w:sz="0" w:space="0" w:color="auto"/>
                                                  </w:divBdr>
                                                  <w:divsChild>
                                                    <w:div w:id="3181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27386">
      <w:bodyDiv w:val="1"/>
      <w:marLeft w:val="0"/>
      <w:marRight w:val="0"/>
      <w:marTop w:val="0"/>
      <w:marBottom w:val="0"/>
      <w:divBdr>
        <w:top w:val="none" w:sz="0" w:space="0" w:color="auto"/>
        <w:left w:val="none" w:sz="0" w:space="0" w:color="auto"/>
        <w:bottom w:val="none" w:sz="0" w:space="0" w:color="auto"/>
        <w:right w:val="none" w:sz="0" w:space="0" w:color="auto"/>
      </w:divBdr>
      <w:divsChild>
        <w:div w:id="1331643543">
          <w:marLeft w:val="150"/>
          <w:marRight w:val="150"/>
          <w:marTop w:val="0"/>
          <w:marBottom w:val="0"/>
          <w:divBdr>
            <w:top w:val="none" w:sz="0" w:space="0" w:color="auto"/>
            <w:left w:val="none" w:sz="0" w:space="0" w:color="auto"/>
            <w:bottom w:val="none" w:sz="0" w:space="0" w:color="auto"/>
            <w:right w:val="none" w:sz="0" w:space="0" w:color="auto"/>
          </w:divBdr>
          <w:divsChild>
            <w:div w:id="500464267">
              <w:marLeft w:val="0"/>
              <w:marRight w:val="0"/>
              <w:marTop w:val="0"/>
              <w:marBottom w:val="0"/>
              <w:divBdr>
                <w:top w:val="none" w:sz="0" w:space="0" w:color="auto"/>
                <w:left w:val="none" w:sz="0" w:space="0" w:color="auto"/>
                <w:bottom w:val="none" w:sz="0" w:space="0" w:color="auto"/>
                <w:right w:val="none" w:sz="0" w:space="0" w:color="auto"/>
              </w:divBdr>
              <w:divsChild>
                <w:div w:id="269751435">
                  <w:marLeft w:val="0"/>
                  <w:marRight w:val="0"/>
                  <w:marTop w:val="0"/>
                  <w:marBottom w:val="0"/>
                  <w:divBdr>
                    <w:top w:val="none" w:sz="0" w:space="0" w:color="auto"/>
                    <w:left w:val="none" w:sz="0" w:space="0" w:color="auto"/>
                    <w:bottom w:val="none" w:sz="0" w:space="0" w:color="auto"/>
                    <w:right w:val="none" w:sz="0" w:space="0" w:color="auto"/>
                  </w:divBdr>
                  <w:divsChild>
                    <w:div w:id="1565602430">
                      <w:marLeft w:val="0"/>
                      <w:marRight w:val="0"/>
                      <w:marTop w:val="0"/>
                      <w:marBottom w:val="0"/>
                      <w:divBdr>
                        <w:top w:val="none" w:sz="0" w:space="0" w:color="auto"/>
                        <w:left w:val="none" w:sz="0" w:space="0" w:color="auto"/>
                        <w:bottom w:val="none" w:sz="0" w:space="0" w:color="auto"/>
                        <w:right w:val="none" w:sz="0" w:space="0" w:color="auto"/>
                      </w:divBdr>
                      <w:divsChild>
                        <w:div w:id="680939398">
                          <w:marLeft w:val="0"/>
                          <w:marRight w:val="0"/>
                          <w:marTop w:val="0"/>
                          <w:marBottom w:val="0"/>
                          <w:divBdr>
                            <w:top w:val="none" w:sz="0" w:space="0" w:color="auto"/>
                            <w:left w:val="none" w:sz="0" w:space="0" w:color="auto"/>
                            <w:bottom w:val="none" w:sz="0" w:space="0" w:color="auto"/>
                            <w:right w:val="none" w:sz="0" w:space="0" w:color="auto"/>
                          </w:divBdr>
                          <w:divsChild>
                            <w:div w:id="1115755429">
                              <w:marLeft w:val="0"/>
                              <w:marRight w:val="0"/>
                              <w:marTop w:val="0"/>
                              <w:marBottom w:val="0"/>
                              <w:divBdr>
                                <w:top w:val="none" w:sz="0" w:space="0" w:color="auto"/>
                                <w:left w:val="none" w:sz="0" w:space="0" w:color="auto"/>
                                <w:bottom w:val="none" w:sz="0" w:space="0" w:color="auto"/>
                                <w:right w:val="none" w:sz="0" w:space="0" w:color="auto"/>
                              </w:divBdr>
                              <w:divsChild>
                                <w:div w:id="13083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07961">
      <w:bodyDiv w:val="1"/>
      <w:marLeft w:val="0"/>
      <w:marRight w:val="0"/>
      <w:marTop w:val="0"/>
      <w:marBottom w:val="0"/>
      <w:divBdr>
        <w:top w:val="none" w:sz="0" w:space="0" w:color="auto"/>
        <w:left w:val="none" w:sz="0" w:space="0" w:color="auto"/>
        <w:bottom w:val="none" w:sz="0" w:space="0" w:color="auto"/>
        <w:right w:val="none" w:sz="0" w:space="0" w:color="auto"/>
      </w:divBdr>
    </w:div>
    <w:div w:id="437262273">
      <w:bodyDiv w:val="1"/>
      <w:marLeft w:val="0"/>
      <w:marRight w:val="0"/>
      <w:marTop w:val="0"/>
      <w:marBottom w:val="0"/>
      <w:divBdr>
        <w:top w:val="none" w:sz="0" w:space="0" w:color="auto"/>
        <w:left w:val="none" w:sz="0" w:space="0" w:color="auto"/>
        <w:bottom w:val="none" w:sz="0" w:space="0" w:color="auto"/>
        <w:right w:val="none" w:sz="0" w:space="0" w:color="auto"/>
      </w:divBdr>
    </w:div>
    <w:div w:id="548567193">
      <w:bodyDiv w:val="1"/>
      <w:marLeft w:val="0"/>
      <w:marRight w:val="0"/>
      <w:marTop w:val="0"/>
      <w:marBottom w:val="0"/>
      <w:divBdr>
        <w:top w:val="none" w:sz="0" w:space="0" w:color="auto"/>
        <w:left w:val="none" w:sz="0" w:space="0" w:color="auto"/>
        <w:bottom w:val="none" w:sz="0" w:space="0" w:color="auto"/>
        <w:right w:val="none" w:sz="0" w:space="0" w:color="auto"/>
      </w:divBdr>
    </w:div>
    <w:div w:id="883517738">
      <w:bodyDiv w:val="1"/>
      <w:marLeft w:val="0"/>
      <w:marRight w:val="0"/>
      <w:marTop w:val="0"/>
      <w:marBottom w:val="0"/>
      <w:divBdr>
        <w:top w:val="none" w:sz="0" w:space="0" w:color="auto"/>
        <w:left w:val="none" w:sz="0" w:space="0" w:color="auto"/>
        <w:bottom w:val="none" w:sz="0" w:space="0" w:color="auto"/>
        <w:right w:val="none" w:sz="0" w:space="0" w:color="auto"/>
      </w:divBdr>
    </w:div>
    <w:div w:id="972095615">
      <w:bodyDiv w:val="1"/>
      <w:marLeft w:val="0"/>
      <w:marRight w:val="0"/>
      <w:marTop w:val="0"/>
      <w:marBottom w:val="0"/>
      <w:divBdr>
        <w:top w:val="none" w:sz="0" w:space="0" w:color="auto"/>
        <w:left w:val="none" w:sz="0" w:space="0" w:color="auto"/>
        <w:bottom w:val="none" w:sz="0" w:space="0" w:color="auto"/>
        <w:right w:val="none" w:sz="0" w:space="0" w:color="auto"/>
      </w:divBdr>
    </w:div>
    <w:div w:id="1075130957">
      <w:bodyDiv w:val="1"/>
      <w:marLeft w:val="0"/>
      <w:marRight w:val="0"/>
      <w:marTop w:val="0"/>
      <w:marBottom w:val="0"/>
      <w:divBdr>
        <w:top w:val="none" w:sz="0" w:space="0" w:color="auto"/>
        <w:left w:val="none" w:sz="0" w:space="0" w:color="auto"/>
        <w:bottom w:val="none" w:sz="0" w:space="0" w:color="auto"/>
        <w:right w:val="none" w:sz="0" w:space="0" w:color="auto"/>
      </w:divBdr>
    </w:div>
    <w:div w:id="1671055283">
      <w:bodyDiv w:val="1"/>
      <w:marLeft w:val="0"/>
      <w:marRight w:val="0"/>
      <w:marTop w:val="0"/>
      <w:marBottom w:val="0"/>
      <w:divBdr>
        <w:top w:val="none" w:sz="0" w:space="0" w:color="auto"/>
        <w:left w:val="none" w:sz="0" w:space="0" w:color="auto"/>
        <w:bottom w:val="none" w:sz="0" w:space="0" w:color="auto"/>
        <w:right w:val="none" w:sz="0" w:space="0" w:color="auto"/>
      </w:divBdr>
    </w:div>
    <w:div w:id="20301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2020-05-04T02:04:00Z</dcterms:created>
  <dcterms:modified xsi:type="dcterms:W3CDTF">2020-05-04T02:04:00Z</dcterms:modified>
</cp:coreProperties>
</file>