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3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C15C28" w:rsidRPr="00C15C28" w14:paraId="600635DC" w14:textId="77777777" w:rsidTr="003C7281">
        <w:trPr>
          <w:trHeight w:val="1814"/>
        </w:trPr>
        <w:tc>
          <w:tcPr>
            <w:tcW w:w="11340" w:type="dxa"/>
            <w:shd w:val="clear" w:color="auto" w:fill="002060"/>
          </w:tcPr>
          <w:p w14:paraId="326822A7" w14:textId="4084870F" w:rsidR="008C7EEF" w:rsidRPr="000A4FBD" w:rsidRDefault="003134E6" w:rsidP="000A4FBD">
            <w:pPr>
              <w:ind w:right="-136"/>
              <w:jc w:val="center"/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3E1F92" wp14:editId="7CF5B58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91440</wp:posOffset>
                  </wp:positionV>
                  <wp:extent cx="2256790" cy="1417955"/>
                  <wp:effectExtent l="0" t="0" r="0" b="0"/>
                  <wp:wrapSquare wrapText="bothSides"/>
                  <wp:docPr id="17517483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74836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014" w:rsidRPr="003A047F">
              <w:rPr>
                <w:rFonts w:ascii="AusGov DVA Stacked 4U" w:hAnsi="AusGov DVA Stacked 4U" w:cs="Arial"/>
                <w:noProof/>
                <w:color w:val="FFFFFF" w:themeColor="background1"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E12430C" wp14:editId="32FEA686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165100</wp:posOffset>
                      </wp:positionV>
                      <wp:extent cx="3355340" cy="11811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89C44" w14:textId="598E97DB" w:rsidR="00607EFA" w:rsidRDefault="00607EFA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 w:rsidRPr="00035BB5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COMMUNITY NURSING NEWSLETTER No. </w:t>
                                  </w:r>
                                  <w:r w:rsidR="002B1CE5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61</w:t>
                                  </w:r>
                                </w:p>
                                <w:p w14:paraId="5863E14F" w14:textId="7CA41A19" w:rsidR="004B469A" w:rsidRPr="002A78B2" w:rsidRDefault="002B1CE5" w:rsidP="00E220B7">
                                  <w:pPr>
                                    <w:jc w:val="center"/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  <w:highlight w:val="green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June</w:t>
                                  </w:r>
                                  <w:r w:rsidR="004B469A"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ptos" w:hAnsi="Aptos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24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4pt;margin-top:13pt;width:264.2pt;height:93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" filled="f" stroked="f">
                      <v:textbox>
                        <w:txbxContent>
                          <w:p w14:paraId="1BD89C44" w14:textId="598E97DB" w:rsidR="00607EFA" w:rsidRDefault="00607EFA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035BB5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 xml:space="preserve">COMMUNITY NURSING NEWSLETTER No. </w:t>
                            </w:r>
                            <w:r w:rsidR="002B1CE5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61</w:t>
                            </w:r>
                          </w:p>
                          <w:p w14:paraId="5863E14F" w14:textId="7CA41A19" w:rsidR="004B469A" w:rsidRPr="002A78B2" w:rsidRDefault="002B1CE5" w:rsidP="00E220B7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  <w:highlight w:val="green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June</w:t>
                            </w:r>
                            <w:r w:rsidR="004B469A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 xml:space="preserve"> 202</w:t>
                            </w:r>
                            <w:r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47F" w:rsidRPr="00C168FC">
              <w:rPr>
                <w:rFonts w:ascii="Arial" w:hAnsi="Arial" w:cs="Arial"/>
                <w:noProof/>
                <w:color w:val="002060"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3E181EE2" wp14:editId="7B4DA91F">
                  <wp:simplePos x="0" y="0"/>
                  <wp:positionH relativeFrom="column">
                    <wp:posOffset>5427608</wp:posOffset>
                  </wp:positionH>
                  <wp:positionV relativeFrom="paragraph">
                    <wp:posOffset>215001</wp:posOffset>
                  </wp:positionV>
                  <wp:extent cx="1566723" cy="888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66723" cy="88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736B" w:rsidRPr="00C15C28" w14:paraId="4FDAD1B9" w14:textId="77777777" w:rsidTr="00802392">
        <w:trPr>
          <w:trHeight w:val="523"/>
        </w:trPr>
        <w:tc>
          <w:tcPr>
            <w:tcW w:w="11340" w:type="dxa"/>
            <w:tcBorders>
              <w:bottom w:val="nil"/>
            </w:tcBorders>
            <w:shd w:val="clear" w:color="auto" w:fill="002060"/>
          </w:tcPr>
          <w:p w14:paraId="694D26EA" w14:textId="51B42CE8" w:rsidR="0090736B" w:rsidRPr="002A78B2" w:rsidRDefault="0075208A" w:rsidP="00565ED7">
            <w:pPr>
              <w:ind w:right="-136"/>
              <w:jc w:val="center"/>
              <w:rPr>
                <w:rFonts w:ascii="Aptos" w:hAnsi="Aptos" w:cs="Arial"/>
                <w:noProof/>
                <w:color w:val="002060"/>
                <w:sz w:val="24"/>
                <w:szCs w:val="24"/>
                <w:lang w:eastAsia="en-AU"/>
              </w:rPr>
            </w:pP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Th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</w:t>
            </w:r>
            <w:r w:rsidRPr="002A78B2">
              <w:rPr>
                <w:rFonts w:ascii="Aptos" w:hAnsi="Aptos" w:cstheme="minorHAnsi"/>
                <w:b/>
                <w:iCs/>
                <w:color w:val="FFFFFF" w:themeColor="background1"/>
                <w:sz w:val="24"/>
                <w:szCs w:val="24"/>
              </w:rPr>
              <w:t>Newsletter</w:t>
            </w:r>
            <w:r w:rsidRPr="002A78B2">
              <w:rPr>
                <w:rFonts w:ascii="Aptos" w:hAnsi="Aptos" w:cstheme="minorHAnsi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is issued to provide 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update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s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to D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VA contracted Community Nursing</w:t>
            </w:r>
            <w:r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 xml:space="preserve"> provide</w:t>
            </w:r>
            <w:r w:rsidR="0012303C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rs</w:t>
            </w:r>
            <w:r w:rsidR="002A78B2" w:rsidRPr="002A78B2">
              <w:rPr>
                <w:rFonts w:ascii="Aptos" w:hAnsi="Aptos" w:cstheme="min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035BB5" w:rsidRPr="000A61E2" w14:paraId="0BB536D7" w14:textId="77777777" w:rsidTr="00802392">
        <w:trPr>
          <w:trHeight w:val="2956"/>
        </w:trPr>
        <w:tc>
          <w:tcPr>
            <w:tcW w:w="11340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662EB35D" w14:textId="77777777" w:rsidR="009C2CD4" w:rsidRPr="009C2CD4" w:rsidRDefault="009C2CD4" w:rsidP="00565ED7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38E42EE0" w14:textId="319DCF70" w:rsidR="00093437" w:rsidRPr="00C35E65" w:rsidRDefault="00C44CA6" w:rsidP="00565ED7">
            <w:pPr>
              <w:rPr>
                <w:rFonts w:ascii="Aptos" w:hAnsi="Aptos" w:cs="Arial"/>
                <w:color w:val="002060"/>
                <w:sz w:val="36"/>
                <w:szCs w:val="36"/>
              </w:rPr>
            </w:pPr>
            <w:r w:rsidRPr="000A61E2">
              <w:rPr>
                <w:rFonts w:ascii="Aptos" w:hAnsi="Aptos" w:cs="Arial"/>
                <w:color w:val="002060"/>
                <w:sz w:val="36"/>
                <w:szCs w:val="36"/>
              </w:rPr>
              <w:t xml:space="preserve">Notes for Community Nursing </w:t>
            </w:r>
            <w:r w:rsidR="00402FFC" w:rsidRPr="000A61E2">
              <w:rPr>
                <w:rFonts w:ascii="Aptos" w:hAnsi="Aptos" w:cs="Arial"/>
                <w:color w:val="002060"/>
                <w:sz w:val="36"/>
                <w:szCs w:val="36"/>
              </w:rPr>
              <w:t>P</w:t>
            </w:r>
            <w:r w:rsidRPr="000A61E2">
              <w:rPr>
                <w:rFonts w:ascii="Aptos" w:hAnsi="Aptos" w:cs="Arial"/>
                <w:color w:val="002060"/>
                <w:sz w:val="36"/>
                <w:szCs w:val="36"/>
              </w:rPr>
              <w:t>roviders</w:t>
            </w:r>
          </w:p>
          <w:p w14:paraId="09000E49" w14:textId="4A6AAF2F" w:rsidR="00035BB5" w:rsidRPr="000A61E2" w:rsidRDefault="00923800" w:rsidP="00565ED7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The Notes for Community Nursing Providers (the Notes) have been reviewed and updated, taking effect from </w:t>
            </w:r>
            <w:r w:rsidR="007C685A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July</w:t>
            </w:r>
            <w:r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202</w:t>
            </w:r>
            <w:r w:rsidR="007C685A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6</w:t>
            </w:r>
            <w:r w:rsidR="00A63A01"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.</w:t>
            </w:r>
            <w:r w:rsidR="00AD5D3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Please ensure all provider staff have access to the current version of the Notes. </w:t>
            </w:r>
          </w:p>
          <w:p w14:paraId="69E996FB" w14:textId="77777777" w:rsidR="00A63A01" w:rsidRPr="000A61E2" w:rsidRDefault="00A63A01" w:rsidP="00565ED7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</w:p>
          <w:p w14:paraId="0114CEA4" w14:textId="41F69285" w:rsidR="00A63A01" w:rsidRPr="000A61E2" w:rsidRDefault="00A63A01" w:rsidP="00565ED7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Updates to the Notes include:</w:t>
            </w:r>
          </w:p>
          <w:p w14:paraId="2D2E6A90" w14:textId="268C5F24" w:rsidR="00AA1A55" w:rsidRPr="00BC03EE" w:rsidRDefault="00AD5D35" w:rsidP="00565ED7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The extension of a</w:t>
            </w:r>
            <w:r w:rsidR="00885B4F" w:rsidRPr="00BC03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temporary provision relating to</w:t>
            </w:r>
            <w:r w:rsidR="00AA1A55" w:rsidRPr="00BC03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Sustainability Payments</w:t>
            </w:r>
            <w:r w:rsidR="00885B4F" w:rsidRPr="00BC03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, by two years</w:t>
            </w:r>
            <w:r w:rsidR="00AA1A55" w:rsidRPr="00BC03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to 30 June 2028</w:t>
            </w:r>
            <w:r w:rsidR="001000A7" w:rsidRPr="00BC03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(Section 1.1.1).</w:t>
            </w:r>
          </w:p>
          <w:p w14:paraId="35C66E2E" w14:textId="027139B2" w:rsidR="00400401" w:rsidRPr="00400401" w:rsidRDefault="00AA1A55" w:rsidP="00565ED7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AA1A5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Improved guidelines to clarify that nutritional assessments are to be conducted by suitably qualified health professionals using a validated nutritional assessment tool</w:t>
            </w:r>
            <w:r w:rsidR="00EE5398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(Sections </w:t>
            </w:r>
            <w:r w:rsidR="003C34F4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3.2.1</w:t>
            </w:r>
            <w:r w:rsidR="00FA28B6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, 5.1</w:t>
            </w:r>
            <w:r w:rsidR="002D71B7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, </w:t>
            </w:r>
            <w:r w:rsidR="000036D9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and </w:t>
            </w:r>
            <w:r w:rsidR="002D71B7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6.4</w:t>
            </w:r>
            <w:r w:rsidR="00400401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)</w:t>
            </w:r>
            <w:r w:rsidR="00C35E6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.</w:t>
            </w:r>
          </w:p>
          <w:p w14:paraId="0CAFBA3A" w14:textId="0B217EEA" w:rsidR="00AA1A55" w:rsidRPr="00AA1A55" w:rsidRDefault="00AA1A55" w:rsidP="00565ED7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AA1A5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Improved guidance around claiming of nursing consumables to provide clarity on the items eligible for reimbursement</w:t>
            </w:r>
            <w:r w:rsidR="00400401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(Section </w:t>
            </w:r>
            <w:r w:rsidR="00B16BB8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6.8 and Attachment </w:t>
            </w:r>
            <w:r w:rsidR="008316E6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D).</w:t>
            </w:r>
          </w:p>
          <w:p w14:paraId="35CFCC9B" w14:textId="13305C70" w:rsidR="00AA1A55" w:rsidRPr="0000053E" w:rsidRDefault="00DB058F" w:rsidP="00565ED7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Amended</w:t>
            </w:r>
            <w:r w:rsidR="00AA1A55" w:rsidRPr="00AA1A5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references from Residential Aged Care Facilities to Residential Care Homes for alignment with terminology in the new Aged Care Act.</w:t>
            </w:r>
          </w:p>
          <w:p w14:paraId="6DC01A57" w14:textId="6DA4CD69" w:rsidR="000036D9" w:rsidRDefault="000036D9" w:rsidP="00565ED7">
            <w:pPr>
              <w:pStyle w:val="ListParagraph"/>
              <w:numPr>
                <w:ilvl w:val="0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Veteran Card</w:t>
            </w:r>
            <w:r w:rsidR="00DB058F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reference</w:t>
            </w: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s</w:t>
            </w:r>
            <w:r w:rsidR="00AD5D3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, </w:t>
            </w: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to reflect the formal card name changes taking effect from 1 July 2026:</w:t>
            </w:r>
          </w:p>
          <w:p w14:paraId="7DBF773C" w14:textId="77777777" w:rsidR="000036D9" w:rsidRDefault="000036D9" w:rsidP="00565ED7">
            <w:pPr>
              <w:pStyle w:val="ListParagraph"/>
              <w:numPr>
                <w:ilvl w:val="1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AA1A5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Veteran Gold Card to Veteran Card – All Conditions, and </w:t>
            </w:r>
          </w:p>
          <w:p w14:paraId="354E394D" w14:textId="77777777" w:rsidR="000036D9" w:rsidRDefault="000036D9" w:rsidP="00565ED7">
            <w:pPr>
              <w:pStyle w:val="ListParagraph"/>
              <w:numPr>
                <w:ilvl w:val="1"/>
                <w:numId w:val="10"/>
              </w:num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AA1A55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Veteran White Card to Veteran Card – Specific Conditions</w:t>
            </w:r>
          </w:p>
          <w:p w14:paraId="14F9063B" w14:textId="77777777" w:rsidR="000036D9" w:rsidRPr="00AA1A55" w:rsidRDefault="000036D9" w:rsidP="00565ED7">
            <w:pPr>
              <w:pStyle w:val="ListParagraph"/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DE7FD3">
              <w:rPr>
                <w:rFonts w:ascii="Aptos" w:hAnsi="Aptos" w:cs="Arial"/>
                <w:b/>
                <w:bCs/>
                <w:color w:val="2F5496" w:themeColor="accent5" w:themeShade="BF"/>
                <w:sz w:val="24"/>
                <w:szCs w:val="24"/>
              </w:rPr>
              <w:t>N.B.</w:t>
            </w: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The change to card names does </w:t>
            </w:r>
            <w:r w:rsidRPr="00010575">
              <w:rPr>
                <w:rFonts w:ascii="Aptos" w:hAnsi="Aptos" w:cs="Arial"/>
                <w:i/>
                <w:iCs/>
                <w:color w:val="2F5496" w:themeColor="accent5" w:themeShade="BF"/>
                <w:sz w:val="24"/>
                <w:szCs w:val="24"/>
                <w:u w:val="single"/>
              </w:rPr>
              <w:t>not</w:t>
            </w:r>
            <w: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impact eligibility to receive services under Veteran Card arrangements.</w:t>
            </w:r>
          </w:p>
          <w:p w14:paraId="57F3B0F8" w14:textId="77777777" w:rsidR="00A63A01" w:rsidRPr="000A61E2" w:rsidRDefault="00A63A01" w:rsidP="00565ED7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</w:p>
          <w:p w14:paraId="6F28D5F0" w14:textId="666926F5" w:rsidR="00AD5D35" w:rsidRPr="000A61E2" w:rsidRDefault="00A63A01" w:rsidP="00565ED7">
            <w:pPr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</w:pPr>
            <w:r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The updated version of the Notes is attached and will be available on the </w:t>
            </w:r>
            <w:hyperlink r:id="rId9" w:history="1">
              <w:r w:rsidR="00E308A9" w:rsidRPr="000A61E2">
                <w:rPr>
                  <w:rStyle w:val="Hyperlink"/>
                  <w:rFonts w:ascii="Aptos" w:hAnsi="Aptos" w:cs="Arial"/>
                  <w:sz w:val="24"/>
                  <w:szCs w:val="24"/>
                </w:rPr>
                <w:t>DVA website</w:t>
              </w:r>
            </w:hyperlink>
            <w:r w:rsidR="00FA6752" w:rsidRPr="000360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</w:t>
            </w:r>
            <w:r w:rsidR="000360EE" w:rsidRPr="000360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in the coming weeks</w:t>
            </w:r>
            <w:r w:rsidR="005E1DF8" w:rsidRPr="000A61E2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>.</w:t>
            </w:r>
          </w:p>
          <w:p w14:paraId="4A7BD55D" w14:textId="5D02B1C7" w:rsidR="00035BB5" w:rsidRPr="00010575" w:rsidRDefault="00035BB5" w:rsidP="00565ED7">
            <w:pPr>
              <w:rPr>
                <w:rFonts w:ascii="Aptos" w:hAnsi="Aptos" w:cs="Arial"/>
                <w:b/>
                <w:color w:val="002060"/>
                <w:sz w:val="16"/>
                <w:szCs w:val="16"/>
              </w:rPr>
            </w:pPr>
          </w:p>
        </w:tc>
      </w:tr>
      <w:tr w:rsidR="0079527A" w:rsidRPr="000A61E2" w14:paraId="4A32AF4D" w14:textId="77777777" w:rsidTr="00DA305A">
        <w:trPr>
          <w:trHeight w:val="351"/>
        </w:trPr>
        <w:tc>
          <w:tcPr>
            <w:tcW w:w="11340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5D6D0041" w14:textId="77777777" w:rsidR="009C2CD4" w:rsidRPr="009C2CD4" w:rsidRDefault="009C2CD4" w:rsidP="00565ED7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1E2EEA14" w14:textId="052CF980" w:rsidR="0079527A" w:rsidRPr="000A61E2" w:rsidRDefault="00A11D96" w:rsidP="00565ED7">
            <w:pPr>
              <w:rPr>
                <w:rFonts w:ascii="Aptos" w:hAnsi="Aptos" w:cs="Arial"/>
                <w:color w:val="002060"/>
                <w:sz w:val="36"/>
                <w:szCs w:val="36"/>
              </w:rPr>
            </w:pPr>
            <w:r>
              <w:rPr>
                <w:rFonts w:ascii="Aptos" w:hAnsi="Aptos" w:cs="Arial"/>
                <w:color w:val="002060"/>
                <w:sz w:val="36"/>
                <w:szCs w:val="36"/>
              </w:rPr>
              <w:t>Fair Work Commission Aged Care Work Value Case</w:t>
            </w:r>
          </w:p>
          <w:p w14:paraId="464E1C73" w14:textId="77777777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As part of DVA’s ongoing commitment to support the Fair Work Commission’s (FWC) decision to increase</w:t>
            </w:r>
          </w:p>
          <w:p w14:paraId="2D72649B" w14:textId="16D149F7" w:rsidR="003967EE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award wages under the Aged Care Work Value Case, clinical care fee items in the Community</w:t>
            </w:r>
            <w:r w:rsidR="00DA083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Nursing</w:t>
            </w:r>
            <w:r w:rsidR="00DA083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Schedule of Fees will be increased from 1 </w:t>
            </w:r>
            <w:r w:rsidR="003967E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August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202</w:t>
            </w:r>
            <w:r w:rsidR="003967E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6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2598172B" w14:textId="77777777" w:rsidR="00E77963" w:rsidRDefault="00E77963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76BEEC55" w14:textId="53018E61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The increase for clinical care items is the </w:t>
            </w:r>
            <w:r w:rsidR="003967E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final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of three tranches of increases for nursing</w:t>
            </w:r>
            <w:r w:rsidR="00DA083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staff, with the first applied from 1 March 2025 and the 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second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applied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from 1 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October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202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5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43857B9A" w14:textId="77777777" w:rsidR="00E77963" w:rsidRDefault="00E77963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157D7C75" w14:textId="56BD9EE4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The DVA Community Nursing Schedule of Fees effective from 1 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August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202</w:t>
            </w:r>
            <w:r w:rsidR="0050187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6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is attached for reference and</w:t>
            </w:r>
          </w:p>
          <w:p w14:paraId="0A1C467C" w14:textId="6E908D24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will also be available on the </w:t>
            </w:r>
            <w:hyperlink r:id="rId10" w:history="1">
              <w:r w:rsidRPr="00D51E45">
                <w:rPr>
                  <w:rStyle w:val="Hyperlink"/>
                  <w:rFonts w:ascii="Aptos" w:hAnsi="Aptos"/>
                  <w:sz w:val="24"/>
                  <w:szCs w:val="24"/>
                </w:rPr>
                <w:t>DVA website</w:t>
              </w:r>
            </w:hyperlink>
            <w:r w:rsidR="000360EE" w:rsidRPr="000360EE">
              <w:rPr>
                <w:rFonts w:ascii="Aptos" w:hAnsi="Aptos" w:cs="Arial"/>
                <w:color w:val="2F5496" w:themeColor="accent5" w:themeShade="BF"/>
                <w:sz w:val="24"/>
                <w:szCs w:val="24"/>
              </w:rPr>
              <w:t xml:space="preserve"> in the coming weeks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2014076D" w14:textId="77777777" w:rsidR="00E77963" w:rsidRDefault="00E77963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79C8BC70" w14:textId="72E39690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Community Nursing providers who deliver services to clients under an Exceptional Case approval will</w:t>
            </w:r>
          </w:p>
          <w:p w14:paraId="24F21A23" w14:textId="77777777" w:rsidR="00C502EB" w:rsidRPr="00C502EB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receive an updated approval letter in October for each client to reflect the fee increases.</w:t>
            </w:r>
          </w:p>
          <w:p w14:paraId="7B0C3290" w14:textId="77777777" w:rsidR="00E77963" w:rsidRDefault="00E77963" w:rsidP="00565ED7">
            <w:pPr>
              <w:rPr>
                <w:rFonts w:ascii="Aptos" w:hAnsi="Aptos"/>
                <w:b/>
                <w:bCs/>
                <w:color w:val="2F5496" w:themeColor="accent5" w:themeShade="BF"/>
                <w:sz w:val="24"/>
                <w:szCs w:val="24"/>
              </w:rPr>
            </w:pPr>
          </w:p>
          <w:p w14:paraId="76E17785" w14:textId="3B6DB6D7" w:rsidR="00C502EB" w:rsidRPr="00E77963" w:rsidRDefault="00C502EB" w:rsidP="00565ED7">
            <w:pPr>
              <w:rPr>
                <w:rFonts w:ascii="Aptos" w:hAnsi="Aptos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E77963">
              <w:rPr>
                <w:rFonts w:ascii="Aptos" w:hAnsi="Aptos"/>
                <w:b/>
                <w:bCs/>
                <w:color w:val="2F5496" w:themeColor="accent5" w:themeShade="BF"/>
                <w:sz w:val="24"/>
                <w:szCs w:val="24"/>
              </w:rPr>
              <w:t>Historical Leave Liabilities</w:t>
            </w:r>
          </w:p>
          <w:p w14:paraId="5F1F84A0" w14:textId="217192A0" w:rsidR="00E81B96" w:rsidRDefault="00C502EB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Additional funding will be made available to Community Nursing providers to fund</w:t>
            </w:r>
            <w:r w:rsidR="00D52BA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historical leave liabilities </w:t>
            </w:r>
            <w:r w:rsidR="00EE41B1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resulting from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the FWC decision. The funding will cover the increases applied from</w:t>
            </w:r>
            <w:r w:rsidR="00D52BA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1 </w:t>
            </w:r>
            <w:r w:rsidR="00D52BA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August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202</w:t>
            </w:r>
            <w:r w:rsidR="00D52BA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6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. </w:t>
            </w:r>
            <w:r w:rsidR="00E34C9F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F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urther information will be made available </w:t>
            </w:r>
            <w:r w:rsidR="00F516B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as soon as possible</w:t>
            </w:r>
            <w:r w:rsidRPr="00C502EB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288D278A" w14:textId="02FA2919" w:rsidR="00EA2AB6" w:rsidRPr="00BA04EA" w:rsidRDefault="00EA2AB6" w:rsidP="00565ED7">
            <w:pPr>
              <w:rPr>
                <w:rFonts w:ascii="Aptos" w:hAnsi="Aptos"/>
                <w:color w:val="2F5496" w:themeColor="accent5" w:themeShade="BF"/>
                <w:sz w:val="16"/>
                <w:szCs w:val="16"/>
              </w:rPr>
            </w:pPr>
          </w:p>
        </w:tc>
      </w:tr>
      <w:tr w:rsidR="00D835C5" w:rsidRPr="000A61E2" w14:paraId="63A13B4A" w14:textId="77777777" w:rsidTr="00DA305A">
        <w:trPr>
          <w:trHeight w:val="2956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0EDC53" w14:textId="77777777" w:rsidR="00A11D96" w:rsidRPr="00A11D96" w:rsidRDefault="00A11D96" w:rsidP="00565ED7">
            <w:pPr>
              <w:rPr>
                <w:rFonts w:ascii="Aptos" w:hAnsi="Aptos" w:cs="Arial"/>
                <w:color w:val="002060"/>
                <w:sz w:val="16"/>
                <w:szCs w:val="16"/>
              </w:rPr>
            </w:pPr>
          </w:p>
          <w:p w14:paraId="02126511" w14:textId="6B5CBF50" w:rsidR="00093437" w:rsidRPr="000A61E2" w:rsidRDefault="00096E7B" w:rsidP="00565ED7">
            <w:pPr>
              <w:rPr>
                <w:rFonts w:ascii="Aptos" w:hAnsi="Aptos" w:cs="Arial"/>
                <w:color w:val="002060"/>
                <w:sz w:val="36"/>
                <w:szCs w:val="36"/>
              </w:rPr>
            </w:pPr>
            <w:r>
              <w:rPr>
                <w:rFonts w:ascii="Aptos" w:hAnsi="Aptos" w:cs="Arial"/>
                <w:color w:val="002060"/>
                <w:sz w:val="36"/>
                <w:szCs w:val="36"/>
              </w:rPr>
              <w:t>Getting Compliance and Claiming Right</w:t>
            </w:r>
          </w:p>
          <w:p w14:paraId="1FC7FBA5" w14:textId="3EC559E9" w:rsidR="00BB3D13" w:rsidRPr="00CB59FD" w:rsidRDefault="00805F4C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In line with</w:t>
            </w:r>
            <w:r w:rsidR="00EB4360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the DVA Community Nursing contract, providers must understand and comply with</w:t>
            </w:r>
            <w:r w:rsidR="00BB3D13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EB4360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the</w:t>
            </w:r>
            <w:r w:rsidR="00BB3D13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requirements outlined in the Notes for Community Nursing Providers</w:t>
            </w:r>
            <w:r w:rsidR="000D7E63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(the Notes)</w:t>
            </w:r>
            <w:r w:rsidR="00F81AF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, including when</w:t>
            </w:r>
            <w:r w:rsidR="00BB3D13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claim</w:t>
            </w:r>
            <w:r w:rsidR="00F81AF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ing for services </w:t>
            </w:r>
            <w:r w:rsidR="00EB4360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using </w:t>
            </w:r>
            <w:r w:rsidR="00BA04E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fee items in </w:t>
            </w:r>
            <w:r w:rsidR="00EB4360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the Schedule of Fees.</w:t>
            </w:r>
          </w:p>
          <w:p w14:paraId="46DD43A3" w14:textId="77777777" w:rsidR="00565ED7" w:rsidRDefault="00565ED7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560DB238" w14:textId="7E275B0F" w:rsidR="00BB3D13" w:rsidRDefault="00BB3D13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Routine compliance monitoring helps confirm that services are delivered appropriately, and claims are accurate. It also provides an opportunity for providers to strengthen internal processes and demonstrate best practice.</w:t>
            </w:r>
          </w:p>
          <w:p w14:paraId="7DBDCD5C" w14:textId="77777777" w:rsidR="00181095" w:rsidRPr="00CB59FD" w:rsidRDefault="00181095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268FB4C6" w14:textId="47FFEAF2" w:rsidR="00F5243C" w:rsidRPr="00CB59FD" w:rsidRDefault="00BB3D13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Maintaining clear documentation and claiming correctly are essential to ensuring compliance and supporting quality care outcomes.</w:t>
            </w:r>
          </w:p>
          <w:p w14:paraId="2DC66970" w14:textId="77777777" w:rsidR="0064470C" w:rsidRPr="00CB59FD" w:rsidRDefault="0064470C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4AAC5898" w14:textId="0B67EF1D" w:rsidR="00CB59FD" w:rsidRPr="00CB59FD" w:rsidRDefault="00CB59FD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</w:pPr>
            <w:r w:rsidRPr="00CB59FD"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  <w:t>What compliance looks like</w:t>
            </w:r>
          </w:p>
          <w:p w14:paraId="50CF8E7E" w14:textId="341723F9" w:rsidR="00CB59FD" w:rsidRPr="00CB59FD" w:rsidRDefault="00CB59FD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Providers should:</w:t>
            </w:r>
          </w:p>
          <w:p w14:paraId="4D3C7A11" w14:textId="07CE03EE" w:rsidR="00CB59FD" w:rsidRDefault="00CB59FD" w:rsidP="00565ED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Ensure </w:t>
            </w:r>
            <w:r w:rsidR="008066EE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services delivered</w:t>
            </w: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to eligible clients meet</w:t>
            </w: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assessed clinical needs</w:t>
            </w:r>
          </w:p>
          <w:p w14:paraId="3DB37B20" w14:textId="522912FE" w:rsidR="00805F4C" w:rsidRPr="00805F4C" w:rsidRDefault="00805F4C" w:rsidP="00805F4C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Claim only for eligible services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that have been provided</w:t>
            </w:r>
          </w:p>
          <w:p w14:paraId="2423C44E" w14:textId="0DF37FB5" w:rsidR="00CB59FD" w:rsidRPr="00CB59FD" w:rsidRDefault="00CB59FD" w:rsidP="00565ED7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Keep supporting records including referrals, assessments, care plans, progress notes, wound care documentation, and travel records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53EE068A" w14:textId="77777777" w:rsidR="00565ED7" w:rsidRPr="007776DA" w:rsidRDefault="00565ED7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color w:val="2F5496" w:themeColor="accent5" w:themeShade="BF"/>
                <w:sz w:val="24"/>
                <w:szCs w:val="24"/>
                <w:lang w:val="en-AU" w:eastAsia="en-US"/>
              </w:rPr>
            </w:pPr>
          </w:p>
          <w:p w14:paraId="0B2EADEB" w14:textId="71292E9C" w:rsidR="00CB59FD" w:rsidRPr="00CB59FD" w:rsidRDefault="00CB59FD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</w:pPr>
            <w:r w:rsidRPr="00CB59FD"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  <w:t>Key compliance reminders</w:t>
            </w:r>
          </w:p>
          <w:p w14:paraId="18D2D216" w14:textId="0579777D" w:rsidR="00CB59FD" w:rsidRPr="00CB59FD" w:rsidRDefault="00CB59FD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Check client eligibility before </w:t>
            </w:r>
            <w:r w:rsidR="00B46706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delivering services</w:t>
            </w:r>
          </w:p>
          <w:p w14:paraId="6AD254EE" w14:textId="61F09D98" w:rsidR="00CB59FD" w:rsidRPr="00CB59FD" w:rsidRDefault="00FE137A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Ensure all staff who provide care d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ocument progress notes for every visit</w:t>
            </w:r>
          </w:p>
          <w:p w14:paraId="05CB1D71" w14:textId="4DDE547D" w:rsidR="00CB59FD" w:rsidRPr="007776DA" w:rsidRDefault="00DF7F03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O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nly 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provide 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services</w:t>
            </w:r>
            <w:r w:rsidR="00FE137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and </w:t>
            </w:r>
            <w:r w:rsidR="00BA04E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consumables </w:t>
            </w:r>
            <w:r w:rsidR="00FE137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items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that are within scope and clinically required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50EFD3A9" w14:textId="77777777" w:rsidR="00565ED7" w:rsidRPr="007776DA" w:rsidRDefault="00565ED7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color w:val="2F5496" w:themeColor="accent5" w:themeShade="BF"/>
                <w:sz w:val="24"/>
                <w:szCs w:val="24"/>
                <w:lang w:val="en-AU" w:eastAsia="en-US"/>
              </w:rPr>
            </w:pPr>
          </w:p>
          <w:p w14:paraId="5C3539D6" w14:textId="2706F4F3" w:rsidR="00CB59FD" w:rsidRPr="00CB59FD" w:rsidRDefault="00CB59FD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</w:pPr>
            <w:r w:rsidRPr="00CB59FD"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  <w:t>Travel claiming</w:t>
            </w:r>
          </w:p>
          <w:p w14:paraId="00F8B305" w14:textId="18C5E37C" w:rsidR="00CB59FD" w:rsidRPr="00CB59FD" w:rsidRDefault="00CB59FD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Check eligibility </w:t>
            </w:r>
            <w:r w:rsidR="00581B8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to claim</w:t>
            </w: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additional travel</w:t>
            </w:r>
            <w:r w:rsidR="00581B8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with </w:t>
            </w:r>
            <w:r w:rsidR="00581B85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requirements set out</w:t>
            </w:r>
            <w:r w:rsidR="0096125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in Attachment B of the Notes</w:t>
            </w:r>
            <w:r w:rsidR="000D7E63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,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and</w:t>
            </w:r>
            <w:r w:rsidR="000D7E63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:</w:t>
            </w:r>
          </w:p>
          <w:p w14:paraId="5FF865FC" w14:textId="15B432F8" w:rsidR="00CB59FD" w:rsidRPr="00CB59FD" w:rsidRDefault="00805F4C" w:rsidP="007776DA">
            <w:pPr>
              <w:pStyle w:val="ListParagraph"/>
              <w:numPr>
                <w:ilvl w:val="1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d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educt 20 km from each journey, to and from the client’s home</w:t>
            </w:r>
          </w:p>
          <w:p w14:paraId="576D63F7" w14:textId="167FF827" w:rsidR="00CB59FD" w:rsidRPr="00CB59FD" w:rsidRDefault="00805F4C" w:rsidP="007776DA">
            <w:pPr>
              <w:pStyle w:val="ListParagraph"/>
              <w:numPr>
                <w:ilvl w:val="1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u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se the correct kilometre rate, as set out in the Schedule of Fees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1AA0E3DC" w14:textId="465FA2BF" w:rsidR="00CB59FD" w:rsidRDefault="00CB59FD" w:rsidP="00565ED7">
            <w:pPr>
              <w:pStyle w:val="Heading2"/>
              <w:spacing w:before="0" w:after="0" w:line="240" w:lineRule="auto"/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29521C55" w14:textId="262A769A" w:rsidR="00CB59FD" w:rsidRPr="00CB59FD" w:rsidRDefault="00805F4C" w:rsidP="00565ED7">
            <w:pPr>
              <w:pStyle w:val="Heading2"/>
              <w:spacing w:before="0" w:after="0" w:line="240" w:lineRule="auto"/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</w:pPr>
            <w:r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  <w:t>Nursing c</w:t>
            </w:r>
            <w:r w:rsidR="00CB59FD" w:rsidRPr="00CB59FD">
              <w:rPr>
                <w:rFonts w:ascii="Aptos" w:eastAsiaTheme="minorHAnsi" w:hAnsi="Aptos" w:cstheme="minorBidi"/>
                <w:b/>
                <w:bCs/>
                <w:i/>
                <w:iCs/>
                <w:color w:val="2F5496" w:themeColor="accent5" w:themeShade="BF"/>
                <w:sz w:val="24"/>
                <w:szCs w:val="24"/>
                <w:lang w:val="en-AU" w:eastAsia="en-US"/>
              </w:rPr>
              <w:t>onsumables</w:t>
            </w:r>
          </w:p>
          <w:p w14:paraId="5ED12362" w14:textId="79D5D558" w:rsidR="004430C6" w:rsidRPr="00CB59FD" w:rsidRDefault="00665442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Claim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ing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for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n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ursing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c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onsumables items must align with the requirements set out in </w:t>
            </w:r>
            <w:r w:rsidR="00D07D88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Section 6.8 and Attachment D of the Notes</w:t>
            </w:r>
            <w:r w:rsidR="004430C6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, including:</w:t>
            </w:r>
          </w:p>
          <w:p w14:paraId="2E895BD1" w14:textId="628E6CDA" w:rsidR="00CB59FD" w:rsidRPr="00CB59FD" w:rsidRDefault="00805F4C" w:rsidP="007776DA">
            <w:pPr>
              <w:pStyle w:val="ListParagraph"/>
              <w:numPr>
                <w:ilvl w:val="1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p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ersonal items such as body wash and shampoo are not claimable</w:t>
            </w:r>
          </w:p>
          <w:p w14:paraId="6694372B" w14:textId="78E61D20" w:rsidR="00CB59FD" w:rsidRPr="00CB59FD" w:rsidRDefault="00805F4C" w:rsidP="007776DA">
            <w:pPr>
              <w:pStyle w:val="ListParagraph"/>
              <w:numPr>
                <w:ilvl w:val="1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p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roducts </w:t>
            </w:r>
            <w:r w:rsidR="004430C6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that can be obtained through RAP or the RPBS cannot be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claimed thr</w:t>
            </w:r>
            <w:r w:rsidR="004430C6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ough the Nursing Consumables item numbers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75DB8092" w14:textId="6BA1B2E2" w:rsidR="00565ED7" w:rsidRPr="007776DA" w:rsidRDefault="00565ED7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5F154915" w14:textId="7728DE0D" w:rsidR="00CB59FD" w:rsidRPr="007776DA" w:rsidRDefault="00CB59FD" w:rsidP="007776DA">
            <w:pPr>
              <w:rPr>
                <w:rFonts w:ascii="Aptos" w:hAnsi="Aptos"/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</w:pPr>
            <w:r w:rsidRPr="007776DA">
              <w:rPr>
                <w:rFonts w:ascii="Aptos" w:hAnsi="Aptos"/>
                <w:b/>
                <w:bCs/>
                <w:i/>
                <w:iCs/>
                <w:color w:val="2F5496" w:themeColor="accent5" w:themeShade="BF"/>
                <w:sz w:val="24"/>
                <w:szCs w:val="24"/>
              </w:rPr>
              <w:t>Quick checklist</w:t>
            </w:r>
          </w:p>
          <w:p w14:paraId="4EA18A03" w14:textId="3F7CF04D" w:rsidR="00CB59FD" w:rsidRPr="00CB59FD" w:rsidRDefault="00CB59FD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Is the client eligible?</w:t>
            </w:r>
          </w:p>
          <w:p w14:paraId="263877B3" w14:textId="64736223" w:rsidR="00CB59FD" w:rsidRPr="00CB59FD" w:rsidRDefault="00CB59FD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Is the care clinically required?</w:t>
            </w:r>
          </w:p>
          <w:p w14:paraId="5F54C300" w14:textId="064E51C6" w:rsidR="00CB59FD" w:rsidRDefault="00CB59FD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Is the care/service within scope?</w:t>
            </w:r>
          </w:p>
          <w:p w14:paraId="6A14FA8F" w14:textId="33802732" w:rsidR="00805F4C" w:rsidRPr="00805F4C" w:rsidRDefault="00805F4C" w:rsidP="00805F4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Is the documentation complete?</w:t>
            </w:r>
          </w:p>
          <w:p w14:paraId="51C9C0F3" w14:textId="4FF491B4" w:rsidR="00CB59FD" w:rsidRPr="00CB59FD" w:rsidRDefault="00AA0388" w:rsidP="00565ED7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Is the claim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ing</w:t>
            </w:r>
            <w:r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805F4C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accurate for</w:t>
            </w:r>
            <w:r w:rsidR="00BF469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care provided </w:t>
            </w:r>
            <w:r w:rsidR="00BF469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during the 28-day period</w:t>
            </w:r>
            <w:r w:rsidR="00CB59FD" w:rsidRPr="00CB59FD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?</w:t>
            </w:r>
          </w:p>
          <w:p w14:paraId="2F4788A2" w14:textId="31FD051C" w:rsidR="00D538D9" w:rsidRDefault="00D538D9" w:rsidP="00D538D9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  <w:p w14:paraId="78748C44" w14:textId="2EF85DBF" w:rsidR="009054B7" w:rsidRDefault="007776DA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8E1560" wp14:editId="15DB88C4">
                  <wp:simplePos x="0" y="0"/>
                  <wp:positionH relativeFrom="column">
                    <wp:posOffset>6253480</wp:posOffset>
                  </wp:positionH>
                  <wp:positionV relativeFrom="paragraph">
                    <wp:posOffset>257810</wp:posOffset>
                  </wp:positionV>
                  <wp:extent cx="838200" cy="838200"/>
                  <wp:effectExtent l="0" t="0" r="0" b="0"/>
                  <wp:wrapThrough wrapText="bothSides">
                    <wp:wrapPolygon edited="0">
                      <wp:start x="5891" y="0"/>
                      <wp:lineTo x="982" y="1964"/>
                      <wp:lineTo x="0" y="3436"/>
                      <wp:lineTo x="0" y="19145"/>
                      <wp:lineTo x="3436" y="20618"/>
                      <wp:lineTo x="10309" y="21109"/>
                      <wp:lineTo x="20127" y="21109"/>
                      <wp:lineTo x="20618" y="17673"/>
                      <wp:lineTo x="20618" y="12764"/>
                      <wp:lineTo x="19145" y="9327"/>
                      <wp:lineTo x="16691" y="8345"/>
                      <wp:lineTo x="17182" y="4418"/>
                      <wp:lineTo x="15709" y="2455"/>
                      <wp:lineTo x="10800" y="0"/>
                      <wp:lineTo x="5891" y="0"/>
                    </wp:wrapPolygon>
                  </wp:wrapThrough>
                  <wp:docPr id="12466917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8D9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Section 7.13 of the Notes contains information </w:t>
            </w:r>
            <w:r w:rsidR="0018197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about </w:t>
            </w:r>
            <w:r w:rsidR="00CB59FD" w:rsidRPr="007776D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identify</w:t>
            </w:r>
            <w:r w:rsidR="0018197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ing and managing</w:t>
            </w:r>
            <w:r w:rsidR="00CB59FD" w:rsidRPr="007776DA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 xml:space="preserve"> incorrect claiming or overpayments</w:t>
            </w:r>
            <w:r w:rsidR="00181972">
              <w:rPr>
                <w:rFonts w:ascii="Aptos" w:hAnsi="Aptos"/>
                <w:color w:val="2F5496" w:themeColor="accent5" w:themeShade="BF"/>
                <w:sz w:val="24"/>
                <w:szCs w:val="24"/>
              </w:rPr>
              <w:t>.</w:t>
            </w:r>
          </w:p>
          <w:p w14:paraId="6AC35BAF" w14:textId="2339A3D7" w:rsidR="007776DA" w:rsidRPr="007776DA" w:rsidRDefault="007776DA" w:rsidP="00565ED7">
            <w:pPr>
              <w:rPr>
                <w:rFonts w:ascii="Aptos" w:hAnsi="Aptos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7A400873" w14:textId="40DCE302" w:rsidR="009054B7" w:rsidRPr="009C2CD4" w:rsidRDefault="009054B7" w:rsidP="00565ED7">
      <w:pPr>
        <w:spacing w:after="0" w:line="240" w:lineRule="auto"/>
        <w:rPr>
          <w:rFonts w:ascii="Aptos" w:hAnsi="Aptos"/>
          <w:sz w:val="16"/>
          <w:szCs w:val="16"/>
        </w:rPr>
      </w:pPr>
    </w:p>
    <w:sectPr w:rsidR="009054B7" w:rsidRPr="009C2CD4" w:rsidSect="0009400E">
      <w:pgSz w:w="11906" w:h="16838" w:code="9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5AD3" w14:textId="77777777" w:rsidR="00A85DE2" w:rsidRDefault="00A85DE2" w:rsidP="009C2CD4">
      <w:pPr>
        <w:spacing w:after="0" w:line="240" w:lineRule="auto"/>
      </w:pPr>
      <w:r>
        <w:separator/>
      </w:r>
    </w:p>
  </w:endnote>
  <w:endnote w:type="continuationSeparator" w:id="0">
    <w:p w14:paraId="58E5E6E7" w14:textId="77777777" w:rsidR="00A85DE2" w:rsidRDefault="00A85DE2" w:rsidP="009C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sGov DVA Stacked 4U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C50D" w14:textId="77777777" w:rsidR="00A85DE2" w:rsidRDefault="00A85DE2" w:rsidP="009C2CD4">
      <w:pPr>
        <w:spacing w:after="0" w:line="240" w:lineRule="auto"/>
      </w:pPr>
      <w:r>
        <w:separator/>
      </w:r>
    </w:p>
  </w:footnote>
  <w:footnote w:type="continuationSeparator" w:id="0">
    <w:p w14:paraId="2C7F6918" w14:textId="77777777" w:rsidR="00A85DE2" w:rsidRDefault="00A85DE2" w:rsidP="009C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C0E"/>
    <w:multiLevelType w:val="hybridMultilevel"/>
    <w:tmpl w:val="7B04B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929"/>
    <w:multiLevelType w:val="hybridMultilevel"/>
    <w:tmpl w:val="E30CD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086"/>
    <w:multiLevelType w:val="hybridMultilevel"/>
    <w:tmpl w:val="F3DCD9B8"/>
    <w:lvl w:ilvl="0" w:tplc="FE4E90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57B"/>
    <w:multiLevelType w:val="hybridMultilevel"/>
    <w:tmpl w:val="95D45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283"/>
    <w:multiLevelType w:val="hybridMultilevel"/>
    <w:tmpl w:val="00F03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3DC3"/>
    <w:multiLevelType w:val="hybridMultilevel"/>
    <w:tmpl w:val="59385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DD0F"/>
    <w:multiLevelType w:val="hybridMultilevel"/>
    <w:tmpl w:val="D78CD3F2"/>
    <w:lvl w:ilvl="0" w:tplc="AB2AE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C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68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A2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A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F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87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F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3287"/>
    <w:multiLevelType w:val="hybridMultilevel"/>
    <w:tmpl w:val="5D840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7530"/>
    <w:multiLevelType w:val="hybridMultilevel"/>
    <w:tmpl w:val="14C41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9079B"/>
    <w:multiLevelType w:val="hybridMultilevel"/>
    <w:tmpl w:val="A59CD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76A7F"/>
    <w:multiLevelType w:val="hybridMultilevel"/>
    <w:tmpl w:val="C3321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8FE6D"/>
    <w:multiLevelType w:val="hybridMultilevel"/>
    <w:tmpl w:val="B608F106"/>
    <w:lvl w:ilvl="0" w:tplc="F5E4D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6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A8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6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E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5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E8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6B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96DB7"/>
    <w:multiLevelType w:val="hybridMultilevel"/>
    <w:tmpl w:val="520CE8BA"/>
    <w:lvl w:ilvl="0" w:tplc="0C09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3" w15:restartNumberingAfterBreak="0">
    <w:nsid w:val="63AB640A"/>
    <w:multiLevelType w:val="hybridMultilevel"/>
    <w:tmpl w:val="A6FEF3CC"/>
    <w:lvl w:ilvl="0" w:tplc="A22E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E0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8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4D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C0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6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49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8D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4E06"/>
    <w:multiLevelType w:val="hybridMultilevel"/>
    <w:tmpl w:val="F32A409C"/>
    <w:lvl w:ilvl="0" w:tplc="FD80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04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A9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87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B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6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B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28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6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BCD45"/>
    <w:multiLevelType w:val="hybridMultilevel"/>
    <w:tmpl w:val="0DC4654A"/>
    <w:lvl w:ilvl="0" w:tplc="4D5AE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05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C9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A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41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0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B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A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D17EC"/>
    <w:multiLevelType w:val="hybridMultilevel"/>
    <w:tmpl w:val="C5F49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0214">
    <w:abstractNumId w:val="10"/>
  </w:num>
  <w:num w:numId="2" w16cid:durableId="1618563254">
    <w:abstractNumId w:val="7"/>
  </w:num>
  <w:num w:numId="3" w16cid:durableId="273753203">
    <w:abstractNumId w:val="1"/>
  </w:num>
  <w:num w:numId="4" w16cid:durableId="471682491">
    <w:abstractNumId w:val="9"/>
  </w:num>
  <w:num w:numId="5" w16cid:durableId="441732621">
    <w:abstractNumId w:val="0"/>
  </w:num>
  <w:num w:numId="6" w16cid:durableId="868031479">
    <w:abstractNumId w:val="12"/>
  </w:num>
  <w:num w:numId="7" w16cid:durableId="1826241920">
    <w:abstractNumId w:val="5"/>
  </w:num>
  <w:num w:numId="8" w16cid:durableId="1477338372">
    <w:abstractNumId w:val="3"/>
  </w:num>
  <w:num w:numId="9" w16cid:durableId="252513117">
    <w:abstractNumId w:val="4"/>
  </w:num>
  <w:num w:numId="10" w16cid:durableId="1994095894">
    <w:abstractNumId w:val="2"/>
  </w:num>
  <w:num w:numId="11" w16cid:durableId="1995719415">
    <w:abstractNumId w:val="8"/>
  </w:num>
  <w:num w:numId="12" w16cid:durableId="855922350">
    <w:abstractNumId w:val="16"/>
  </w:num>
  <w:num w:numId="13" w16cid:durableId="161506071">
    <w:abstractNumId w:val="14"/>
  </w:num>
  <w:num w:numId="14" w16cid:durableId="1677150377">
    <w:abstractNumId w:val="13"/>
  </w:num>
  <w:num w:numId="15" w16cid:durableId="1211184890">
    <w:abstractNumId w:val="11"/>
  </w:num>
  <w:num w:numId="16" w16cid:durableId="402530438">
    <w:abstractNumId w:val="6"/>
  </w:num>
  <w:num w:numId="17" w16cid:durableId="1332367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4"/>
    <w:rsid w:val="0000053E"/>
    <w:rsid w:val="000036D9"/>
    <w:rsid w:val="000077A5"/>
    <w:rsid w:val="00010575"/>
    <w:rsid w:val="00014805"/>
    <w:rsid w:val="00024505"/>
    <w:rsid w:val="00034C58"/>
    <w:rsid w:val="00035BB5"/>
    <w:rsid w:val="000360EE"/>
    <w:rsid w:val="0004395B"/>
    <w:rsid w:val="00057AA8"/>
    <w:rsid w:val="0006105F"/>
    <w:rsid w:val="00093437"/>
    <w:rsid w:val="0009400E"/>
    <w:rsid w:val="0009670D"/>
    <w:rsid w:val="00096E7B"/>
    <w:rsid w:val="000A4FBD"/>
    <w:rsid w:val="000A61E2"/>
    <w:rsid w:val="000A69E8"/>
    <w:rsid w:val="000B783F"/>
    <w:rsid w:val="000C1DAF"/>
    <w:rsid w:val="000C60BF"/>
    <w:rsid w:val="000D3126"/>
    <w:rsid w:val="000D31AD"/>
    <w:rsid w:val="000D5D6D"/>
    <w:rsid w:val="000D6ACA"/>
    <w:rsid w:val="000D7E63"/>
    <w:rsid w:val="000E428B"/>
    <w:rsid w:val="000E51D8"/>
    <w:rsid w:val="000F1FF0"/>
    <w:rsid w:val="000F3CCA"/>
    <w:rsid w:val="001000A7"/>
    <w:rsid w:val="0011292D"/>
    <w:rsid w:val="0012303C"/>
    <w:rsid w:val="00130BB7"/>
    <w:rsid w:val="001320A0"/>
    <w:rsid w:val="00132D4F"/>
    <w:rsid w:val="00136D1D"/>
    <w:rsid w:val="00143B01"/>
    <w:rsid w:val="001465AB"/>
    <w:rsid w:val="0016548F"/>
    <w:rsid w:val="00181095"/>
    <w:rsid w:val="00181972"/>
    <w:rsid w:val="001849FD"/>
    <w:rsid w:val="00193063"/>
    <w:rsid w:val="001A22A2"/>
    <w:rsid w:val="001A38B5"/>
    <w:rsid w:val="001B6F26"/>
    <w:rsid w:val="001B78B3"/>
    <w:rsid w:val="001D5349"/>
    <w:rsid w:val="001D78EC"/>
    <w:rsid w:val="001E352A"/>
    <w:rsid w:val="001F350F"/>
    <w:rsid w:val="001F7ADB"/>
    <w:rsid w:val="00217589"/>
    <w:rsid w:val="00222E16"/>
    <w:rsid w:val="0022426A"/>
    <w:rsid w:val="002252BD"/>
    <w:rsid w:val="0023774C"/>
    <w:rsid w:val="0024329A"/>
    <w:rsid w:val="0025103D"/>
    <w:rsid w:val="00255D89"/>
    <w:rsid w:val="0026596C"/>
    <w:rsid w:val="002742A3"/>
    <w:rsid w:val="002A4B72"/>
    <w:rsid w:val="002A6132"/>
    <w:rsid w:val="002A78B2"/>
    <w:rsid w:val="002B1CE5"/>
    <w:rsid w:val="002B38AD"/>
    <w:rsid w:val="002C181B"/>
    <w:rsid w:val="002D39DA"/>
    <w:rsid w:val="002D71B7"/>
    <w:rsid w:val="002E17BC"/>
    <w:rsid w:val="002F1513"/>
    <w:rsid w:val="003016AF"/>
    <w:rsid w:val="00305D27"/>
    <w:rsid w:val="003134E6"/>
    <w:rsid w:val="00324B3C"/>
    <w:rsid w:val="003621A2"/>
    <w:rsid w:val="00383E13"/>
    <w:rsid w:val="003948B5"/>
    <w:rsid w:val="003967EE"/>
    <w:rsid w:val="003A047F"/>
    <w:rsid w:val="003A1811"/>
    <w:rsid w:val="003A1BB5"/>
    <w:rsid w:val="003B2965"/>
    <w:rsid w:val="003B7412"/>
    <w:rsid w:val="003C0289"/>
    <w:rsid w:val="003C05D8"/>
    <w:rsid w:val="003C1C04"/>
    <w:rsid w:val="003C2354"/>
    <w:rsid w:val="003C34F4"/>
    <w:rsid w:val="003C611B"/>
    <w:rsid w:val="003C7281"/>
    <w:rsid w:val="003C74B3"/>
    <w:rsid w:val="003D104D"/>
    <w:rsid w:val="003E323A"/>
    <w:rsid w:val="003E403E"/>
    <w:rsid w:val="003E4EFB"/>
    <w:rsid w:val="003F5A07"/>
    <w:rsid w:val="00400401"/>
    <w:rsid w:val="00402BB5"/>
    <w:rsid w:val="00402FFC"/>
    <w:rsid w:val="0041494F"/>
    <w:rsid w:val="0041658F"/>
    <w:rsid w:val="00430260"/>
    <w:rsid w:val="004400B3"/>
    <w:rsid w:val="00442192"/>
    <w:rsid w:val="004430C6"/>
    <w:rsid w:val="00452685"/>
    <w:rsid w:val="00456DD1"/>
    <w:rsid w:val="00470EE3"/>
    <w:rsid w:val="00474EEC"/>
    <w:rsid w:val="004836DF"/>
    <w:rsid w:val="00487851"/>
    <w:rsid w:val="00492FA1"/>
    <w:rsid w:val="004B2C92"/>
    <w:rsid w:val="004B469A"/>
    <w:rsid w:val="004C611E"/>
    <w:rsid w:val="004D451F"/>
    <w:rsid w:val="004E31C3"/>
    <w:rsid w:val="00501879"/>
    <w:rsid w:val="00511300"/>
    <w:rsid w:val="00513141"/>
    <w:rsid w:val="00514211"/>
    <w:rsid w:val="00514406"/>
    <w:rsid w:val="00523F9D"/>
    <w:rsid w:val="00530FFD"/>
    <w:rsid w:val="00536FF5"/>
    <w:rsid w:val="00565ED7"/>
    <w:rsid w:val="00581723"/>
    <w:rsid w:val="00581B85"/>
    <w:rsid w:val="0058577D"/>
    <w:rsid w:val="00591F33"/>
    <w:rsid w:val="00593CFD"/>
    <w:rsid w:val="005A292B"/>
    <w:rsid w:val="005A4765"/>
    <w:rsid w:val="005B0F5E"/>
    <w:rsid w:val="005B198E"/>
    <w:rsid w:val="005B19F4"/>
    <w:rsid w:val="005C4878"/>
    <w:rsid w:val="005D7613"/>
    <w:rsid w:val="005E0809"/>
    <w:rsid w:val="005E18DB"/>
    <w:rsid w:val="005E1DF8"/>
    <w:rsid w:val="005E3F7C"/>
    <w:rsid w:val="005E7625"/>
    <w:rsid w:val="005F1B1E"/>
    <w:rsid w:val="005F22AA"/>
    <w:rsid w:val="00607EFA"/>
    <w:rsid w:val="0061387F"/>
    <w:rsid w:val="00615FF7"/>
    <w:rsid w:val="00625686"/>
    <w:rsid w:val="00626AF9"/>
    <w:rsid w:val="00626DC5"/>
    <w:rsid w:val="00636937"/>
    <w:rsid w:val="00637F1D"/>
    <w:rsid w:val="006413CD"/>
    <w:rsid w:val="0064470C"/>
    <w:rsid w:val="00644953"/>
    <w:rsid w:val="0065541B"/>
    <w:rsid w:val="00655D02"/>
    <w:rsid w:val="00662FEB"/>
    <w:rsid w:val="00665442"/>
    <w:rsid w:val="00683201"/>
    <w:rsid w:val="00687720"/>
    <w:rsid w:val="0069158F"/>
    <w:rsid w:val="006E220C"/>
    <w:rsid w:val="006E7AE2"/>
    <w:rsid w:val="006F6FD9"/>
    <w:rsid w:val="00702C64"/>
    <w:rsid w:val="007175CF"/>
    <w:rsid w:val="007262B4"/>
    <w:rsid w:val="00730AB0"/>
    <w:rsid w:val="00741508"/>
    <w:rsid w:val="0075208A"/>
    <w:rsid w:val="0075726A"/>
    <w:rsid w:val="00760E23"/>
    <w:rsid w:val="00764853"/>
    <w:rsid w:val="007776DA"/>
    <w:rsid w:val="0078291D"/>
    <w:rsid w:val="0079072B"/>
    <w:rsid w:val="0079527A"/>
    <w:rsid w:val="007A06EE"/>
    <w:rsid w:val="007A5BB1"/>
    <w:rsid w:val="007C074D"/>
    <w:rsid w:val="007C2981"/>
    <w:rsid w:val="007C685A"/>
    <w:rsid w:val="007D05A0"/>
    <w:rsid w:val="007D1BFE"/>
    <w:rsid w:val="007D7114"/>
    <w:rsid w:val="007E4ED7"/>
    <w:rsid w:val="007E61BC"/>
    <w:rsid w:val="00802392"/>
    <w:rsid w:val="00805F4C"/>
    <w:rsid w:val="008066EE"/>
    <w:rsid w:val="008316E6"/>
    <w:rsid w:val="00832F82"/>
    <w:rsid w:val="00844217"/>
    <w:rsid w:val="0084570C"/>
    <w:rsid w:val="00852189"/>
    <w:rsid w:val="00873F36"/>
    <w:rsid w:val="00877212"/>
    <w:rsid w:val="00883944"/>
    <w:rsid w:val="00885B4F"/>
    <w:rsid w:val="008875D4"/>
    <w:rsid w:val="00893299"/>
    <w:rsid w:val="00893CED"/>
    <w:rsid w:val="008B0B57"/>
    <w:rsid w:val="008C7EEF"/>
    <w:rsid w:val="008E5005"/>
    <w:rsid w:val="008E6C15"/>
    <w:rsid w:val="008F00E7"/>
    <w:rsid w:val="008F596B"/>
    <w:rsid w:val="008F73E7"/>
    <w:rsid w:val="008F7FA4"/>
    <w:rsid w:val="00902B76"/>
    <w:rsid w:val="009054B7"/>
    <w:rsid w:val="0090703A"/>
    <w:rsid w:val="0090736B"/>
    <w:rsid w:val="00914285"/>
    <w:rsid w:val="0091560E"/>
    <w:rsid w:val="009224DD"/>
    <w:rsid w:val="00923800"/>
    <w:rsid w:val="00931014"/>
    <w:rsid w:val="00943146"/>
    <w:rsid w:val="0096125C"/>
    <w:rsid w:val="00976C67"/>
    <w:rsid w:val="00986C78"/>
    <w:rsid w:val="00994FCA"/>
    <w:rsid w:val="009C2CD4"/>
    <w:rsid w:val="009E25A2"/>
    <w:rsid w:val="009F777E"/>
    <w:rsid w:val="00A0024C"/>
    <w:rsid w:val="00A0523D"/>
    <w:rsid w:val="00A11D96"/>
    <w:rsid w:val="00A15AE3"/>
    <w:rsid w:val="00A24E05"/>
    <w:rsid w:val="00A41B41"/>
    <w:rsid w:val="00A514FB"/>
    <w:rsid w:val="00A52D59"/>
    <w:rsid w:val="00A55C38"/>
    <w:rsid w:val="00A55EC9"/>
    <w:rsid w:val="00A56B97"/>
    <w:rsid w:val="00A60A1C"/>
    <w:rsid w:val="00A63A01"/>
    <w:rsid w:val="00A71CAB"/>
    <w:rsid w:val="00A80E02"/>
    <w:rsid w:val="00A85DE2"/>
    <w:rsid w:val="00A87B14"/>
    <w:rsid w:val="00A97035"/>
    <w:rsid w:val="00A972BF"/>
    <w:rsid w:val="00AA0388"/>
    <w:rsid w:val="00AA1A55"/>
    <w:rsid w:val="00AC15FC"/>
    <w:rsid w:val="00AD021C"/>
    <w:rsid w:val="00AD5D35"/>
    <w:rsid w:val="00AD6745"/>
    <w:rsid w:val="00AE1643"/>
    <w:rsid w:val="00AE339C"/>
    <w:rsid w:val="00AE7E1F"/>
    <w:rsid w:val="00AF6BD6"/>
    <w:rsid w:val="00B06E48"/>
    <w:rsid w:val="00B16577"/>
    <w:rsid w:val="00B16BB8"/>
    <w:rsid w:val="00B21C17"/>
    <w:rsid w:val="00B33395"/>
    <w:rsid w:val="00B36806"/>
    <w:rsid w:val="00B40263"/>
    <w:rsid w:val="00B4296F"/>
    <w:rsid w:val="00B46706"/>
    <w:rsid w:val="00B51FB9"/>
    <w:rsid w:val="00B53DF0"/>
    <w:rsid w:val="00B72FA0"/>
    <w:rsid w:val="00B76C3F"/>
    <w:rsid w:val="00B8450B"/>
    <w:rsid w:val="00B947A7"/>
    <w:rsid w:val="00BA04EA"/>
    <w:rsid w:val="00BA40FC"/>
    <w:rsid w:val="00BB2CB3"/>
    <w:rsid w:val="00BB3D13"/>
    <w:rsid w:val="00BC03EE"/>
    <w:rsid w:val="00BC43A8"/>
    <w:rsid w:val="00BC60B2"/>
    <w:rsid w:val="00BD0058"/>
    <w:rsid w:val="00BD1E0D"/>
    <w:rsid w:val="00BF1725"/>
    <w:rsid w:val="00BF40EB"/>
    <w:rsid w:val="00BF469A"/>
    <w:rsid w:val="00C02EBB"/>
    <w:rsid w:val="00C038D1"/>
    <w:rsid w:val="00C04265"/>
    <w:rsid w:val="00C0740B"/>
    <w:rsid w:val="00C14BE0"/>
    <w:rsid w:val="00C15C28"/>
    <w:rsid w:val="00C164BF"/>
    <w:rsid w:val="00C20D39"/>
    <w:rsid w:val="00C35E65"/>
    <w:rsid w:val="00C44CA6"/>
    <w:rsid w:val="00C4757B"/>
    <w:rsid w:val="00C502EB"/>
    <w:rsid w:val="00C51A76"/>
    <w:rsid w:val="00C5539D"/>
    <w:rsid w:val="00C57693"/>
    <w:rsid w:val="00C61BC8"/>
    <w:rsid w:val="00C61DFB"/>
    <w:rsid w:val="00C62580"/>
    <w:rsid w:val="00C76015"/>
    <w:rsid w:val="00C8311D"/>
    <w:rsid w:val="00C85C6B"/>
    <w:rsid w:val="00C87A15"/>
    <w:rsid w:val="00C94250"/>
    <w:rsid w:val="00CA69B3"/>
    <w:rsid w:val="00CB59FD"/>
    <w:rsid w:val="00CE16FD"/>
    <w:rsid w:val="00CE1712"/>
    <w:rsid w:val="00CE60E1"/>
    <w:rsid w:val="00D0231D"/>
    <w:rsid w:val="00D07D88"/>
    <w:rsid w:val="00D111EE"/>
    <w:rsid w:val="00D2548B"/>
    <w:rsid w:val="00D32889"/>
    <w:rsid w:val="00D32C82"/>
    <w:rsid w:val="00D51E45"/>
    <w:rsid w:val="00D52BA2"/>
    <w:rsid w:val="00D538D9"/>
    <w:rsid w:val="00D63527"/>
    <w:rsid w:val="00D638DD"/>
    <w:rsid w:val="00D74EED"/>
    <w:rsid w:val="00D77D96"/>
    <w:rsid w:val="00D835C5"/>
    <w:rsid w:val="00DA0839"/>
    <w:rsid w:val="00DA305A"/>
    <w:rsid w:val="00DB058F"/>
    <w:rsid w:val="00DC1D9D"/>
    <w:rsid w:val="00DC2FA6"/>
    <w:rsid w:val="00DD6F0B"/>
    <w:rsid w:val="00DE7FD3"/>
    <w:rsid w:val="00DF7F03"/>
    <w:rsid w:val="00E056BB"/>
    <w:rsid w:val="00E059D0"/>
    <w:rsid w:val="00E147CC"/>
    <w:rsid w:val="00E216F8"/>
    <w:rsid w:val="00E220B7"/>
    <w:rsid w:val="00E22A42"/>
    <w:rsid w:val="00E308A9"/>
    <w:rsid w:val="00E337B5"/>
    <w:rsid w:val="00E34397"/>
    <w:rsid w:val="00E34C9F"/>
    <w:rsid w:val="00E6085A"/>
    <w:rsid w:val="00E77963"/>
    <w:rsid w:val="00E80D5A"/>
    <w:rsid w:val="00E81B96"/>
    <w:rsid w:val="00E8389D"/>
    <w:rsid w:val="00EA2AB6"/>
    <w:rsid w:val="00EA39EB"/>
    <w:rsid w:val="00EA610F"/>
    <w:rsid w:val="00EA75E0"/>
    <w:rsid w:val="00EB4360"/>
    <w:rsid w:val="00ED65B1"/>
    <w:rsid w:val="00EE3826"/>
    <w:rsid w:val="00EE41B1"/>
    <w:rsid w:val="00EE5398"/>
    <w:rsid w:val="00F00C6F"/>
    <w:rsid w:val="00F1082A"/>
    <w:rsid w:val="00F12B3C"/>
    <w:rsid w:val="00F14402"/>
    <w:rsid w:val="00F15500"/>
    <w:rsid w:val="00F225D7"/>
    <w:rsid w:val="00F25652"/>
    <w:rsid w:val="00F3209F"/>
    <w:rsid w:val="00F32C6D"/>
    <w:rsid w:val="00F46C9B"/>
    <w:rsid w:val="00F46D0B"/>
    <w:rsid w:val="00F516BC"/>
    <w:rsid w:val="00F5243C"/>
    <w:rsid w:val="00F55403"/>
    <w:rsid w:val="00F6717E"/>
    <w:rsid w:val="00F81AF2"/>
    <w:rsid w:val="00F9136C"/>
    <w:rsid w:val="00F92741"/>
    <w:rsid w:val="00F92B9F"/>
    <w:rsid w:val="00FA28B6"/>
    <w:rsid w:val="00FA6752"/>
    <w:rsid w:val="00FA6C58"/>
    <w:rsid w:val="00FB1F13"/>
    <w:rsid w:val="00FC1644"/>
    <w:rsid w:val="00FD294D"/>
    <w:rsid w:val="00FD4817"/>
    <w:rsid w:val="00FD5A44"/>
    <w:rsid w:val="00FE137A"/>
    <w:rsid w:val="00FE7029"/>
    <w:rsid w:val="00FF2186"/>
    <w:rsid w:val="051C068A"/>
    <w:rsid w:val="0795CB80"/>
    <w:rsid w:val="0C7A1D6B"/>
    <w:rsid w:val="11A425F6"/>
    <w:rsid w:val="1412A367"/>
    <w:rsid w:val="1801DDDF"/>
    <w:rsid w:val="1D8549F6"/>
    <w:rsid w:val="2433DBE5"/>
    <w:rsid w:val="3A9CF1A8"/>
    <w:rsid w:val="3F10D821"/>
    <w:rsid w:val="453796E1"/>
    <w:rsid w:val="4DF2A3BA"/>
    <w:rsid w:val="5F83670A"/>
    <w:rsid w:val="6222A19E"/>
    <w:rsid w:val="631047FA"/>
    <w:rsid w:val="64083FA6"/>
    <w:rsid w:val="6B74FAA7"/>
    <w:rsid w:val="6BEF68B0"/>
    <w:rsid w:val="74DB431D"/>
    <w:rsid w:val="757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4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9FD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0F476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D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25652"/>
    <w:rPr>
      <w:color w:val="0563C1"/>
      <w:u w:val="single"/>
    </w:rPr>
  </w:style>
  <w:style w:type="table" w:styleId="PlainTable4">
    <w:name w:val="Plain Table 4"/>
    <w:basedOn w:val="TableNormal"/>
    <w:uiPriority w:val="44"/>
    <w:rsid w:val="00F2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E0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5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74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5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7A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D4"/>
  </w:style>
  <w:style w:type="paragraph" w:styleId="Footer">
    <w:name w:val="footer"/>
    <w:basedOn w:val="Normal"/>
    <w:link w:val="FooterChar"/>
    <w:uiPriority w:val="99"/>
    <w:unhideWhenUsed/>
    <w:rsid w:val="009C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D4"/>
  </w:style>
  <w:style w:type="character" w:customStyle="1" w:styleId="Heading2Char">
    <w:name w:val="Heading 2 Char"/>
    <w:basedOn w:val="DefaultParagraphFont"/>
    <w:link w:val="Heading2"/>
    <w:uiPriority w:val="9"/>
    <w:rsid w:val="00CB59FD"/>
    <w:rPr>
      <w:rFonts w:asciiTheme="majorHAnsi" w:eastAsiaTheme="majorEastAsia" w:hAnsiTheme="majorHAnsi" w:cstheme="majorBidi"/>
      <w:color w:val="0F4761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dva.gov.au/providers/community-nursing-services-and-providers/information-for-dva-contracted-community-nursing-provi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va.gov.au/providers/community-nursing-services-and-providers/information-for-dva-contracted-community-nursing-provi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4216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2026-07-01T01:31:00Z</dcterms:created>
  <dcterms:modified xsi:type="dcterms:W3CDTF">2026-07-01T01:31:00Z</dcterms:modified>
</cp:coreProperties>
</file>