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134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</w:tblGrid>
      <w:tr w:rsidR="00C15C28" w:rsidRPr="00C15C28" w14:paraId="600635DC" w14:textId="77777777" w:rsidTr="003C7281">
        <w:trPr>
          <w:trHeight w:val="1814"/>
        </w:trPr>
        <w:tc>
          <w:tcPr>
            <w:tcW w:w="11340" w:type="dxa"/>
            <w:shd w:val="clear" w:color="auto" w:fill="002060"/>
          </w:tcPr>
          <w:p w14:paraId="0BBB7AF1" w14:textId="2CB18A9C" w:rsidR="0075208A" w:rsidRDefault="000C5735" w:rsidP="5F83670A">
            <w:pPr>
              <w:ind w:right="-136"/>
              <w:jc w:val="center"/>
              <w:rPr>
                <w:rFonts w:ascii="Arial" w:hAnsi="Arial" w:cs="Arial"/>
                <w:noProof/>
                <w:color w:val="002060"/>
                <w:sz w:val="24"/>
                <w:szCs w:val="24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FFCD1C1" wp14:editId="1C5B549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62230</wp:posOffset>
                  </wp:positionV>
                  <wp:extent cx="2314800" cy="1332000"/>
                  <wp:effectExtent l="0" t="0" r="0" b="1905"/>
                  <wp:wrapSquare wrapText="bothSides"/>
                  <wp:docPr id="2824512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45123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800" cy="13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1014" w:rsidRPr="003A047F">
              <w:rPr>
                <w:rFonts w:ascii="AusGov DVA Stacked 4U" w:hAnsi="AusGov DVA Stacked 4U" w:cs="Arial"/>
                <w:noProof/>
                <w:color w:val="FFFFFF" w:themeColor="background1"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58239" behindDoc="0" locked="0" layoutInCell="1" allowOverlap="1" wp14:anchorId="2E12430C" wp14:editId="396459E2">
                      <wp:simplePos x="0" y="0"/>
                      <wp:positionH relativeFrom="column">
                        <wp:posOffset>2110104</wp:posOffset>
                      </wp:positionH>
                      <wp:positionV relativeFrom="paragraph">
                        <wp:posOffset>165100</wp:posOffset>
                      </wp:positionV>
                      <wp:extent cx="3193415" cy="122872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3415" cy="1228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89C44" w14:textId="28AB5D51" w:rsidR="00607EFA" w:rsidRPr="002A78B2" w:rsidRDefault="00607EFA" w:rsidP="00E220B7">
                                  <w:pPr>
                                    <w:jc w:val="center"/>
                                    <w:rPr>
                                      <w:rFonts w:ascii="Aptos" w:hAnsi="Aptos"/>
                                      <w:b/>
                                      <w:color w:val="FFFFFF" w:themeColor="background1"/>
                                      <w:sz w:val="40"/>
                                      <w:highlight w:val="green"/>
                                    </w:rPr>
                                  </w:pPr>
                                  <w:r w:rsidRPr="00035BB5">
                                    <w:rPr>
                                      <w:rFonts w:ascii="Aptos" w:hAnsi="Aptos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 xml:space="preserve">COMMUNITY NURSING NEWSLETTER No. </w:t>
                                  </w:r>
                                  <w:r w:rsidR="002A5787">
                                    <w:rPr>
                                      <w:rFonts w:ascii="Aptos" w:hAnsi="Aptos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>59</w:t>
                                  </w:r>
                                </w:p>
                                <w:p w14:paraId="5FEFAF57" w14:textId="51F66CB6" w:rsidR="00931014" w:rsidRPr="00035BB5" w:rsidRDefault="002A5787" w:rsidP="00E220B7">
                                  <w:pPr>
                                    <w:jc w:val="center"/>
                                    <w:rPr>
                                      <w:rFonts w:ascii="Aptos" w:hAnsi="Aptos"/>
                                      <w:b/>
                                      <w:color w:val="FFFFFF" w:themeColor="background1"/>
                                      <w:sz w:val="40"/>
                                    </w:rPr>
                                  </w:pPr>
                                  <w:r w:rsidRPr="002A5787">
                                    <w:rPr>
                                      <w:rFonts w:ascii="Aptos" w:hAnsi="Aptos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>December 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1243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6.15pt;margin-top:13pt;width:251.45pt;height:96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" filled="f" stroked="f">
                      <v:textbox>
                        <w:txbxContent>
                          <w:p w14:paraId="1BD89C44" w14:textId="28AB5D51" w:rsidR="00607EFA" w:rsidRPr="002A78B2" w:rsidRDefault="00607EFA" w:rsidP="00E220B7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0"/>
                                <w:highlight w:val="green"/>
                              </w:rPr>
                            </w:pPr>
                            <w:r w:rsidRPr="00035BB5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0"/>
                              </w:rPr>
                              <w:t xml:space="preserve">COMMUNITY NURSING NEWSLETTER No. </w:t>
                            </w:r>
                            <w:r w:rsidR="002A5787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0"/>
                              </w:rPr>
                              <w:t>59</w:t>
                            </w:r>
                          </w:p>
                          <w:p w14:paraId="5FEFAF57" w14:textId="51F66CB6" w:rsidR="00931014" w:rsidRPr="00035BB5" w:rsidRDefault="002A5787" w:rsidP="00E220B7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2A5787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0"/>
                              </w:rPr>
                              <w:t>December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6822A7" w14:textId="1C21147A" w:rsidR="008C7EEF" w:rsidRPr="003A047F" w:rsidRDefault="003A047F" w:rsidP="003A047F">
            <w:pPr>
              <w:ind w:right="-136"/>
              <w:rPr>
                <w:rFonts w:ascii="AusGov DVA Stacked 4U" w:hAnsi="AusGov DVA Stacked 4U" w:cs="Arial"/>
                <w:color w:val="002060"/>
                <w:sz w:val="200"/>
                <w:szCs w:val="200"/>
              </w:rPr>
            </w:pPr>
            <w:r w:rsidRPr="00C168FC">
              <w:rPr>
                <w:rFonts w:ascii="Arial" w:hAnsi="Arial" w:cs="Arial"/>
                <w:noProof/>
                <w:color w:val="002060"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3E181EE2" wp14:editId="3652F81D">
                  <wp:simplePos x="0" y="0"/>
                  <wp:positionH relativeFrom="column">
                    <wp:posOffset>5427608</wp:posOffset>
                  </wp:positionH>
                  <wp:positionV relativeFrom="paragraph">
                    <wp:posOffset>215001</wp:posOffset>
                  </wp:positionV>
                  <wp:extent cx="1566723" cy="888676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66723" cy="888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3175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736B" w:rsidRPr="00C15C28" w14:paraId="4FDAD1B9" w14:textId="77777777" w:rsidTr="00802392">
        <w:trPr>
          <w:trHeight w:val="523"/>
        </w:trPr>
        <w:tc>
          <w:tcPr>
            <w:tcW w:w="11340" w:type="dxa"/>
            <w:tcBorders>
              <w:bottom w:val="nil"/>
            </w:tcBorders>
            <w:shd w:val="clear" w:color="auto" w:fill="002060"/>
          </w:tcPr>
          <w:p w14:paraId="694D26EA" w14:textId="51B42CE8" w:rsidR="0090736B" w:rsidRPr="002A78B2" w:rsidRDefault="0075208A" w:rsidP="00931014">
            <w:pPr>
              <w:ind w:right="-136"/>
              <w:jc w:val="center"/>
              <w:rPr>
                <w:rFonts w:ascii="Aptos" w:hAnsi="Aptos" w:cs="Arial"/>
                <w:noProof/>
                <w:color w:val="002060"/>
                <w:sz w:val="24"/>
                <w:szCs w:val="24"/>
                <w:lang w:eastAsia="en-AU"/>
              </w:rPr>
            </w:pPr>
            <w:r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>Th</w:t>
            </w:r>
            <w:r w:rsidR="002A78B2"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 xml:space="preserve">is </w:t>
            </w:r>
            <w:r w:rsidRPr="002A78B2">
              <w:rPr>
                <w:rFonts w:ascii="Aptos" w:hAnsi="Aptos" w:cstheme="minorHAnsi"/>
                <w:b/>
                <w:iCs/>
                <w:color w:val="FFFFFF" w:themeColor="background1"/>
                <w:sz w:val="24"/>
                <w:szCs w:val="24"/>
              </w:rPr>
              <w:t>Newsletter</w:t>
            </w:r>
            <w:r w:rsidRPr="002A78B2">
              <w:rPr>
                <w:rFonts w:ascii="Aptos" w:hAnsi="Aptos" w:cstheme="minorHAnsi"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12303C"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 xml:space="preserve">is issued to provide </w:t>
            </w:r>
            <w:r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>update</w:t>
            </w:r>
            <w:r w:rsidR="0012303C"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>s</w:t>
            </w:r>
            <w:r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 xml:space="preserve"> to D</w:t>
            </w:r>
            <w:r w:rsidR="002A78B2"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>VA contracted Community Nursing</w:t>
            </w:r>
            <w:r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 xml:space="preserve"> provide</w:t>
            </w:r>
            <w:r w:rsidR="0012303C"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>rs</w:t>
            </w:r>
            <w:r w:rsidR="002A78B2"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035BB5" w:rsidRPr="00C15C28" w14:paraId="0BB536D7" w14:textId="77777777" w:rsidTr="005B50D7">
        <w:trPr>
          <w:trHeight w:val="2956"/>
        </w:trPr>
        <w:tc>
          <w:tcPr>
            <w:tcW w:w="11340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739E924A" w14:textId="77777777" w:rsidR="00F55403" w:rsidRPr="00F55403" w:rsidRDefault="00F55403" w:rsidP="003C7281">
            <w:pPr>
              <w:spacing w:line="259" w:lineRule="auto"/>
              <w:rPr>
                <w:rFonts w:ascii="Aptos" w:hAnsi="Aptos" w:cs="Arial"/>
                <w:color w:val="002060"/>
                <w:sz w:val="16"/>
                <w:szCs w:val="16"/>
              </w:rPr>
            </w:pPr>
          </w:p>
          <w:p w14:paraId="631DB0ED" w14:textId="1FEDDFB1" w:rsidR="00035BB5" w:rsidRPr="009C085C" w:rsidRDefault="004D6046" w:rsidP="009C085C">
            <w:pPr>
              <w:spacing w:line="259" w:lineRule="auto"/>
              <w:rPr>
                <w:rFonts w:ascii="Aptos" w:hAnsi="Aptos" w:cs="Arial"/>
                <w:color w:val="002060"/>
                <w:sz w:val="36"/>
                <w:szCs w:val="36"/>
              </w:rPr>
            </w:pPr>
            <w:r>
              <w:rPr>
                <w:rFonts w:ascii="Aptos" w:hAnsi="Aptos" w:cs="Arial"/>
                <w:color w:val="002060"/>
                <w:sz w:val="36"/>
                <w:szCs w:val="36"/>
              </w:rPr>
              <w:t xml:space="preserve">Annual Fee Indexation </w:t>
            </w:r>
          </w:p>
          <w:p w14:paraId="1A9D18D8" w14:textId="77777777" w:rsidR="005B50D7" w:rsidRDefault="00FF5EED" w:rsidP="001954CD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9C085C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Annual fee indexation will be applied to the DVA Community Nursing Schedule of Fees with effect from </w:t>
            </w:r>
          </w:p>
          <w:p w14:paraId="432BDA7C" w14:textId="0C3CFC06" w:rsidR="00FF5EED" w:rsidRPr="009C085C" w:rsidRDefault="00FF5EED" w:rsidP="001954CD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9C085C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1 January 2026, for claim periods commencing on or after that date. The 2026 Schedule of Fees is attached for reference and will also be available on the </w:t>
            </w:r>
            <w:hyperlink r:id="rId9" w:history="1">
              <w:r w:rsidRPr="009C085C">
                <w:rPr>
                  <w:rStyle w:val="Hyperlink"/>
                  <w:rFonts w:ascii="Aptos" w:hAnsi="Aptos"/>
                  <w:color w:val="2F5496" w:themeColor="accent5" w:themeShade="BF"/>
                  <w:sz w:val="24"/>
                  <w:szCs w:val="24"/>
                </w:rPr>
                <w:t>DVA website</w:t>
              </w:r>
            </w:hyperlink>
            <w:r w:rsidRPr="009C085C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from mid-December 2025.</w:t>
            </w:r>
          </w:p>
          <w:p w14:paraId="04699D71" w14:textId="77777777" w:rsidR="00FF5EED" w:rsidRPr="009C085C" w:rsidRDefault="00FF5EED" w:rsidP="00FF5EED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2F5496" w:themeColor="accent5" w:themeShade="BF"/>
              </w:rPr>
            </w:pPr>
          </w:p>
          <w:p w14:paraId="13ED06C4" w14:textId="72A1F8B3" w:rsidR="00035BB5" w:rsidRDefault="00FF5EED" w:rsidP="00035BB5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9C085C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Community Nursing providers who deliver services to clients under an Exceptional Case approval will receive an updated approval letter for each client to reflect the indexed fees.</w:t>
            </w:r>
          </w:p>
          <w:p w14:paraId="4A7BD55D" w14:textId="58298A99" w:rsidR="0013361B" w:rsidRPr="0013361B" w:rsidRDefault="0013361B" w:rsidP="00035BB5">
            <w:pP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</w:pPr>
          </w:p>
        </w:tc>
      </w:tr>
      <w:tr w:rsidR="00F30554" w:rsidRPr="00C15C28" w14:paraId="7932C8A4" w14:textId="77777777" w:rsidTr="005B50D7">
        <w:trPr>
          <w:trHeight w:val="2288"/>
        </w:trPr>
        <w:tc>
          <w:tcPr>
            <w:tcW w:w="11340" w:type="dxa"/>
            <w:tcBorders>
              <w:top w:val="nil"/>
              <w:bottom w:val="nil"/>
            </w:tcBorders>
            <w:shd w:val="clear" w:color="auto" w:fill="FBE4D5" w:themeFill="accent2" w:themeFillTint="33"/>
          </w:tcPr>
          <w:p w14:paraId="79494BC0" w14:textId="77777777" w:rsidR="00F30554" w:rsidRPr="00193063" w:rsidRDefault="00F30554" w:rsidP="006D6CE3">
            <w:pPr>
              <w:rPr>
                <w:rFonts w:ascii="Aptos" w:hAnsi="Aptos" w:cs="Arial"/>
                <w:color w:val="002060"/>
                <w:sz w:val="16"/>
                <w:szCs w:val="16"/>
              </w:rPr>
            </w:pPr>
          </w:p>
          <w:p w14:paraId="0BEBF299" w14:textId="77777777" w:rsidR="00F30554" w:rsidRPr="00035BB5" w:rsidRDefault="00F30554" w:rsidP="001047E5">
            <w:pPr>
              <w:rPr>
                <w:rFonts w:ascii="Aptos" w:hAnsi="Aptos" w:cs="Arial"/>
                <w:color w:val="002060"/>
                <w:sz w:val="36"/>
                <w:szCs w:val="36"/>
              </w:rPr>
            </w:pPr>
            <w:r>
              <w:rPr>
                <w:rFonts w:ascii="Aptos" w:hAnsi="Aptos" w:cs="Arial"/>
                <w:color w:val="002060"/>
                <w:sz w:val="36"/>
                <w:szCs w:val="36"/>
              </w:rPr>
              <w:t>Community Nursing Program – Claiming Quick Reference Guide</w:t>
            </w:r>
          </w:p>
          <w:p w14:paraId="75C69625" w14:textId="4934BB42" w:rsidR="00F30554" w:rsidRDefault="00F30554" w:rsidP="001047E5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A7198E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The Community Nursing Program Claiming Quick Reference Guide has been reviewed and updated for additional clarity. The guide is designed to assist providers in preparing claims for payment</w:t>
            </w:r>
            <w:r w:rsidR="00326F64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,</w:t>
            </w:r>
            <w:r w:rsidRPr="00A7198E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for services provided to clients under the Community Nursing Program. </w:t>
            </w:r>
          </w:p>
          <w:p w14:paraId="5E7AFCFB" w14:textId="77777777" w:rsidR="00F30554" w:rsidRDefault="00F30554" w:rsidP="001047E5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  <w:p w14:paraId="21C66270" w14:textId="77777777" w:rsidR="00F30554" w:rsidRDefault="00F30554" w:rsidP="001047E5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A7198E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A copy is attached for reference, and the guide is also available on the </w:t>
            </w:r>
            <w:hyperlink r:id="rId10" w:history="1">
              <w:r w:rsidRPr="00A7198E">
                <w:rPr>
                  <w:rStyle w:val="Hyperlink"/>
                  <w:rFonts w:ascii="Aptos" w:hAnsi="Aptos"/>
                  <w:color w:val="2F5496" w:themeColor="accent5" w:themeShade="BF"/>
                  <w:sz w:val="24"/>
                  <w:szCs w:val="24"/>
                </w:rPr>
                <w:t>DVA website</w:t>
              </w:r>
            </w:hyperlink>
            <w:r w:rsidRPr="00A7198E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.</w:t>
            </w:r>
          </w:p>
          <w:p w14:paraId="05188C61" w14:textId="77777777" w:rsidR="0013361B" w:rsidRDefault="0013361B" w:rsidP="001047E5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  <w:p w14:paraId="2F48069F" w14:textId="77777777" w:rsidR="0013361B" w:rsidRPr="001A38B5" w:rsidRDefault="0013361B" w:rsidP="001047E5">
            <w:pPr>
              <w:rPr>
                <w:rFonts w:ascii="Aptos" w:hAnsi="Aptos" w:cs="Arial"/>
                <w:color w:val="002060"/>
                <w:sz w:val="24"/>
                <w:szCs w:val="24"/>
              </w:rPr>
            </w:pPr>
          </w:p>
        </w:tc>
      </w:tr>
      <w:tr w:rsidR="0079527A" w:rsidRPr="00C15C28" w14:paraId="4A32AF4D" w14:textId="77777777" w:rsidTr="005B50D7">
        <w:trPr>
          <w:trHeight w:val="3402"/>
        </w:trPr>
        <w:tc>
          <w:tcPr>
            <w:tcW w:w="11340" w:type="dxa"/>
            <w:tcBorders>
              <w:top w:val="nil"/>
            </w:tcBorders>
            <w:shd w:val="clear" w:color="auto" w:fill="CCCCFF"/>
          </w:tcPr>
          <w:p w14:paraId="33FE7323" w14:textId="77777777" w:rsidR="00893299" w:rsidRPr="00893299" w:rsidRDefault="00893299" w:rsidP="001A22A2">
            <w:pPr>
              <w:rPr>
                <w:rFonts w:ascii="Aptos" w:hAnsi="Aptos" w:cs="Arial"/>
                <w:color w:val="002060"/>
                <w:sz w:val="16"/>
                <w:szCs w:val="16"/>
              </w:rPr>
            </w:pPr>
          </w:p>
          <w:p w14:paraId="1E2EEA14" w14:textId="54361BC0" w:rsidR="0079527A" w:rsidRPr="001A38B5" w:rsidRDefault="001954CD" w:rsidP="001A22A2">
            <w:pPr>
              <w:rPr>
                <w:rFonts w:ascii="Aptos" w:hAnsi="Aptos" w:cs="Arial"/>
                <w:color w:val="002060"/>
                <w:sz w:val="24"/>
                <w:szCs w:val="24"/>
              </w:rPr>
            </w:pPr>
            <w:r>
              <w:rPr>
                <w:rFonts w:ascii="Aptos" w:hAnsi="Aptos" w:cs="Arial"/>
                <w:color w:val="002060"/>
                <w:sz w:val="36"/>
                <w:szCs w:val="24"/>
              </w:rPr>
              <w:t>Christmas Shutdown Period</w:t>
            </w:r>
          </w:p>
          <w:p w14:paraId="35D92528" w14:textId="3C8D0C58" w:rsidR="009C085C" w:rsidRPr="001047E5" w:rsidRDefault="00F30554" w:rsidP="00F30554">
            <w:pP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</w:pPr>
            <w:r w:rsidRPr="001047E5">
              <w:rPr>
                <w:rFonts w:ascii="Aptos" w:hAnsi="Aptos"/>
                <w:noProof/>
                <w:color w:val="2F5496" w:themeColor="accent5" w:themeShade="BF"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023EC899" wp14:editId="2D81E251">
                  <wp:simplePos x="0" y="0"/>
                  <wp:positionH relativeFrom="column">
                    <wp:posOffset>5605780</wp:posOffset>
                  </wp:positionH>
                  <wp:positionV relativeFrom="paragraph">
                    <wp:posOffset>159385</wp:posOffset>
                  </wp:positionV>
                  <wp:extent cx="1247775" cy="1390650"/>
                  <wp:effectExtent l="0" t="0" r="9525" b="0"/>
                  <wp:wrapSquare wrapText="bothSides"/>
                  <wp:docPr id="503780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78083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C085C" w:rsidRPr="001047E5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Thank you to all DVA Community Nursing providers for the care you continued to provide to veterans throughout the year. </w:t>
            </w:r>
          </w:p>
          <w:p w14:paraId="56F05BA1" w14:textId="77777777" w:rsidR="00F30554" w:rsidRPr="001047E5" w:rsidRDefault="00F30554" w:rsidP="00F30554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  <w:p w14:paraId="700930B9" w14:textId="5EBE2A6A" w:rsidR="009C085C" w:rsidRPr="001047E5" w:rsidRDefault="009C085C" w:rsidP="00F30554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1047E5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The DVA office will be closed from 25 December 202</w:t>
            </w:r>
            <w:r w:rsidR="00F91071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5</w:t>
            </w:r>
            <w:r w:rsidRPr="001047E5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to 1 January 202</w:t>
            </w:r>
            <w:r w:rsidR="00F91071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6</w:t>
            </w:r>
            <w:r w:rsidRPr="001047E5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inclusive. </w:t>
            </w:r>
          </w:p>
          <w:p w14:paraId="2B9F2763" w14:textId="77777777" w:rsidR="009C085C" w:rsidRPr="001047E5" w:rsidRDefault="009C085C" w:rsidP="001047E5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  <w:p w14:paraId="13B6D650" w14:textId="77777777" w:rsidR="009C085C" w:rsidRPr="001047E5" w:rsidRDefault="009C085C" w:rsidP="00F30554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1047E5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Community Nursing providers should continue to assess and deliver clinically required nursing services for eligible DVA clients throughout the Christmas period, under standard arrangements using the Schedule of Fees. </w:t>
            </w:r>
          </w:p>
          <w:p w14:paraId="68486A44" w14:textId="77777777" w:rsidR="009C085C" w:rsidRPr="001047E5" w:rsidRDefault="009C085C" w:rsidP="001047E5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  <w:p w14:paraId="3D219D2D" w14:textId="4F92FBC4" w:rsidR="009C085C" w:rsidRPr="001047E5" w:rsidRDefault="009C085C" w:rsidP="00F30554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1047E5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Where clinically required care exceeds the Schedule of Fees, providers should deliver the care and email DVA at </w:t>
            </w:r>
            <w:hyperlink r:id="rId12" w:history="1">
              <w:r w:rsidRPr="001047E5">
                <w:rPr>
                  <w:rStyle w:val="Hyperlink"/>
                  <w:rFonts w:ascii="Aptos" w:hAnsi="Aptos"/>
                  <w:color w:val="2F5496" w:themeColor="accent5" w:themeShade="BF"/>
                  <w:sz w:val="24"/>
                  <w:szCs w:val="24"/>
                </w:rPr>
                <w:t>exceptional.cases@dva.gov.au</w:t>
              </w:r>
            </w:hyperlink>
            <w:r w:rsidRPr="001047E5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. A DVA staff member will respond to requests from 2 January 2025. </w:t>
            </w:r>
          </w:p>
          <w:p w14:paraId="4D97A575" w14:textId="77777777" w:rsidR="009C085C" w:rsidRPr="001047E5" w:rsidRDefault="009C085C" w:rsidP="001047E5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  <w:p w14:paraId="4DB358BD" w14:textId="77777777" w:rsidR="009C085C" w:rsidRDefault="009C085C" w:rsidP="00F30554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1047E5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Wishing you a safe and happy holiday period, from the DVA Community Nursing team.</w:t>
            </w:r>
          </w:p>
          <w:p w14:paraId="71113B1D" w14:textId="77777777" w:rsidR="0013361B" w:rsidRPr="0013361B" w:rsidRDefault="0013361B" w:rsidP="00F30554">
            <w:pPr>
              <w:rPr>
                <w:rFonts w:ascii="Aptos" w:hAnsi="Aptos" w:cs="Calibri"/>
                <w:color w:val="002060"/>
                <w:sz w:val="24"/>
                <w:szCs w:val="24"/>
              </w:rPr>
            </w:pPr>
          </w:p>
          <w:p w14:paraId="288D278A" w14:textId="466EB45A" w:rsidR="009C085C" w:rsidRPr="0013361B" w:rsidRDefault="009C085C" w:rsidP="001A22A2">
            <w:pPr>
              <w:rPr>
                <w:rFonts w:ascii="Aptos" w:hAnsi="Aptos" w:cs="Arial"/>
                <w:b/>
                <w:color w:val="002060"/>
                <w:sz w:val="16"/>
                <w:szCs w:val="16"/>
              </w:rPr>
            </w:pPr>
          </w:p>
        </w:tc>
      </w:tr>
    </w:tbl>
    <w:p w14:paraId="584D71C4" w14:textId="77777777" w:rsidR="00C0740B" w:rsidRDefault="00C0740B" w:rsidP="00F30554"/>
    <w:sectPr w:rsidR="00C0740B" w:rsidSect="0009400E">
      <w:pgSz w:w="11906" w:h="16838" w:code="9"/>
      <w:pgMar w:top="720" w:right="284" w:bottom="72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39FC2" w14:textId="77777777" w:rsidR="00DC482D" w:rsidRDefault="00DC482D" w:rsidP="00DC482D">
      <w:pPr>
        <w:spacing w:after="0" w:line="240" w:lineRule="auto"/>
      </w:pPr>
      <w:r>
        <w:separator/>
      </w:r>
    </w:p>
  </w:endnote>
  <w:endnote w:type="continuationSeparator" w:id="0">
    <w:p w14:paraId="36529BFB" w14:textId="77777777" w:rsidR="00DC482D" w:rsidRDefault="00DC482D" w:rsidP="00DC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usGov DVA Stacked 4U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8858" w14:textId="77777777" w:rsidR="00DC482D" w:rsidRDefault="00DC482D" w:rsidP="00DC482D">
      <w:pPr>
        <w:spacing w:after="0" w:line="240" w:lineRule="auto"/>
      </w:pPr>
      <w:r>
        <w:separator/>
      </w:r>
    </w:p>
  </w:footnote>
  <w:footnote w:type="continuationSeparator" w:id="0">
    <w:p w14:paraId="01E9B72C" w14:textId="77777777" w:rsidR="00DC482D" w:rsidRDefault="00DC482D" w:rsidP="00DC4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7929"/>
    <w:multiLevelType w:val="hybridMultilevel"/>
    <w:tmpl w:val="E30CD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3287"/>
    <w:multiLevelType w:val="hybridMultilevel"/>
    <w:tmpl w:val="5D840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9079B"/>
    <w:multiLevelType w:val="hybridMultilevel"/>
    <w:tmpl w:val="A59CD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76A7F"/>
    <w:multiLevelType w:val="hybridMultilevel"/>
    <w:tmpl w:val="C3321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070214">
    <w:abstractNumId w:val="3"/>
  </w:num>
  <w:num w:numId="2" w16cid:durableId="1618563254">
    <w:abstractNumId w:val="1"/>
  </w:num>
  <w:num w:numId="3" w16cid:durableId="273753203">
    <w:abstractNumId w:val="0"/>
  </w:num>
  <w:num w:numId="4" w16cid:durableId="471682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14"/>
    <w:rsid w:val="000077A5"/>
    <w:rsid w:val="00034C58"/>
    <w:rsid w:val="00035BB5"/>
    <w:rsid w:val="0009400E"/>
    <w:rsid w:val="000C1DAF"/>
    <w:rsid w:val="000C5735"/>
    <w:rsid w:val="000D37F0"/>
    <w:rsid w:val="000E428B"/>
    <w:rsid w:val="001047E5"/>
    <w:rsid w:val="0012303C"/>
    <w:rsid w:val="0013361B"/>
    <w:rsid w:val="001465AB"/>
    <w:rsid w:val="0017196F"/>
    <w:rsid w:val="00193063"/>
    <w:rsid w:val="001954CD"/>
    <w:rsid w:val="001A22A2"/>
    <w:rsid w:val="001A38B5"/>
    <w:rsid w:val="001B78B3"/>
    <w:rsid w:val="002A5787"/>
    <w:rsid w:val="002A6132"/>
    <w:rsid w:val="002A78B2"/>
    <w:rsid w:val="002C181B"/>
    <w:rsid w:val="002E17BC"/>
    <w:rsid w:val="003016AF"/>
    <w:rsid w:val="00326F64"/>
    <w:rsid w:val="003A047F"/>
    <w:rsid w:val="003A1BB5"/>
    <w:rsid w:val="003B2965"/>
    <w:rsid w:val="003C7281"/>
    <w:rsid w:val="003C74B3"/>
    <w:rsid w:val="003E403E"/>
    <w:rsid w:val="003E4EFB"/>
    <w:rsid w:val="003F2F77"/>
    <w:rsid w:val="00402BB5"/>
    <w:rsid w:val="0041658F"/>
    <w:rsid w:val="004C611E"/>
    <w:rsid w:val="004D6046"/>
    <w:rsid w:val="004E31C3"/>
    <w:rsid w:val="00514520"/>
    <w:rsid w:val="00530FFD"/>
    <w:rsid w:val="00572808"/>
    <w:rsid w:val="005B50D7"/>
    <w:rsid w:val="005C4878"/>
    <w:rsid w:val="005E0809"/>
    <w:rsid w:val="005F1B1E"/>
    <w:rsid w:val="005F22AA"/>
    <w:rsid w:val="00607EFA"/>
    <w:rsid w:val="00626AF9"/>
    <w:rsid w:val="00633FA3"/>
    <w:rsid w:val="00644953"/>
    <w:rsid w:val="00662FEB"/>
    <w:rsid w:val="00685412"/>
    <w:rsid w:val="006E220C"/>
    <w:rsid w:val="006F6FD9"/>
    <w:rsid w:val="007175CF"/>
    <w:rsid w:val="0075208A"/>
    <w:rsid w:val="00760E23"/>
    <w:rsid w:val="0079527A"/>
    <w:rsid w:val="007A06EE"/>
    <w:rsid w:val="007C2981"/>
    <w:rsid w:val="007C6112"/>
    <w:rsid w:val="007D1BFE"/>
    <w:rsid w:val="00802392"/>
    <w:rsid w:val="00893299"/>
    <w:rsid w:val="008C7EEF"/>
    <w:rsid w:val="008F596B"/>
    <w:rsid w:val="0090703A"/>
    <w:rsid w:val="0090736B"/>
    <w:rsid w:val="00931014"/>
    <w:rsid w:val="00952C9D"/>
    <w:rsid w:val="0096233E"/>
    <w:rsid w:val="009C085C"/>
    <w:rsid w:val="00A514FB"/>
    <w:rsid w:val="00A55C38"/>
    <w:rsid w:val="00A55EC9"/>
    <w:rsid w:val="00A7198E"/>
    <w:rsid w:val="00A87B14"/>
    <w:rsid w:val="00AD021C"/>
    <w:rsid w:val="00AE1643"/>
    <w:rsid w:val="00AE339C"/>
    <w:rsid w:val="00B40263"/>
    <w:rsid w:val="00BA40D7"/>
    <w:rsid w:val="00BB2CB3"/>
    <w:rsid w:val="00BD1E0D"/>
    <w:rsid w:val="00BF1725"/>
    <w:rsid w:val="00C02077"/>
    <w:rsid w:val="00C0740B"/>
    <w:rsid w:val="00C15C28"/>
    <w:rsid w:val="00C51A76"/>
    <w:rsid w:val="00C76015"/>
    <w:rsid w:val="00D0231D"/>
    <w:rsid w:val="00D227AC"/>
    <w:rsid w:val="00DC482D"/>
    <w:rsid w:val="00DD048C"/>
    <w:rsid w:val="00DF2247"/>
    <w:rsid w:val="00E220B7"/>
    <w:rsid w:val="00E22A42"/>
    <w:rsid w:val="00E41754"/>
    <w:rsid w:val="00EA75E0"/>
    <w:rsid w:val="00ED65B1"/>
    <w:rsid w:val="00EE3826"/>
    <w:rsid w:val="00F25652"/>
    <w:rsid w:val="00F30554"/>
    <w:rsid w:val="00F3209F"/>
    <w:rsid w:val="00F55403"/>
    <w:rsid w:val="00F91071"/>
    <w:rsid w:val="00FE7029"/>
    <w:rsid w:val="00FE7DF4"/>
    <w:rsid w:val="00FF2186"/>
    <w:rsid w:val="00FF5EED"/>
    <w:rsid w:val="051C068A"/>
    <w:rsid w:val="0795CB80"/>
    <w:rsid w:val="0C7A1D6B"/>
    <w:rsid w:val="11A425F6"/>
    <w:rsid w:val="1412A367"/>
    <w:rsid w:val="1801DDDF"/>
    <w:rsid w:val="1D8549F6"/>
    <w:rsid w:val="2433DBE5"/>
    <w:rsid w:val="3A9CF1A8"/>
    <w:rsid w:val="3F10D821"/>
    <w:rsid w:val="453796E1"/>
    <w:rsid w:val="4DF2A3BA"/>
    <w:rsid w:val="5F83670A"/>
    <w:rsid w:val="6222A19E"/>
    <w:rsid w:val="631047FA"/>
    <w:rsid w:val="64083FA6"/>
    <w:rsid w:val="6B74FAA7"/>
    <w:rsid w:val="6BEF68B0"/>
    <w:rsid w:val="74DB431D"/>
    <w:rsid w:val="7578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241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D02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F25652"/>
    <w:rPr>
      <w:color w:val="0563C1"/>
      <w:u w:val="single"/>
    </w:rPr>
  </w:style>
  <w:style w:type="table" w:styleId="PlainTable4">
    <w:name w:val="Plain Table 4"/>
    <w:basedOn w:val="TableNormal"/>
    <w:uiPriority w:val="44"/>
    <w:rsid w:val="00F256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E08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2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7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5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5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5C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C74B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5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719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4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82D"/>
  </w:style>
  <w:style w:type="paragraph" w:styleId="Footer">
    <w:name w:val="footer"/>
    <w:basedOn w:val="Normal"/>
    <w:link w:val="FooterChar"/>
    <w:uiPriority w:val="99"/>
    <w:unhideWhenUsed/>
    <w:rsid w:val="00DC4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xceptional.cases@dva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www.dva.gov.au/providers/community-nursing-services-and-providers/claiming-for-community-nursing-serv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va.gov.au/providers/community-nursing-services-and-providers/information-for-dva-contracted-community-nursing-provid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2025-12-17T02:21:00Z</dcterms:created>
  <dcterms:modified xsi:type="dcterms:W3CDTF">2025-12-17T02:21:00Z</dcterms:modified>
</cp:coreProperties>
</file>