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1340"/>
      </w:tblGrid>
      <w:tr w:rsidR="00C15C28" w:rsidRPr="00C15C28" w14:paraId="600635DC" w14:textId="77777777" w:rsidTr="003C7281">
        <w:trPr>
          <w:trHeight w:val="1814"/>
        </w:trPr>
        <w:tc>
          <w:tcPr>
            <w:tcW w:w="11340" w:type="dxa"/>
            <w:shd w:val="clear" w:color="auto" w:fill="002060"/>
          </w:tcPr>
          <w:p w14:paraId="0BBB7AF1" w14:textId="77777777" w:rsidR="0075208A" w:rsidRDefault="00931014"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1674D400">
                      <wp:simplePos x="0" y="0"/>
                      <wp:positionH relativeFrom="column">
                        <wp:posOffset>1948180</wp:posOffset>
                      </wp:positionH>
                      <wp:positionV relativeFrom="paragraph">
                        <wp:posOffset>165100</wp:posOffset>
                      </wp:positionV>
                      <wp:extent cx="3355340" cy="1181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181100"/>
                              </a:xfrm>
                              <a:prstGeom prst="rect">
                                <a:avLst/>
                              </a:prstGeom>
                              <a:noFill/>
                              <a:ln w="9525">
                                <a:noFill/>
                                <a:miter lim="800000"/>
                                <a:headEnd/>
                                <a:tailEnd/>
                              </a:ln>
                            </wps:spPr>
                            <wps:txbx>
                              <w:txbxContent>
                                <w:p w14:paraId="1BD89C44" w14:textId="5A2FE8FF" w:rsidR="00607EFA"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4B469A">
                                    <w:rPr>
                                      <w:rFonts w:ascii="Aptos" w:hAnsi="Aptos"/>
                                      <w:b/>
                                      <w:color w:val="FFFFFF" w:themeColor="background1"/>
                                      <w:sz w:val="40"/>
                                    </w:rPr>
                                    <w:t>58</w:t>
                                  </w:r>
                                </w:p>
                                <w:p w14:paraId="5863E14F" w14:textId="527EF80C" w:rsidR="004B469A" w:rsidRPr="002A78B2" w:rsidRDefault="004B469A" w:rsidP="00E220B7">
                                  <w:pPr>
                                    <w:jc w:val="center"/>
                                    <w:rPr>
                                      <w:rFonts w:ascii="Aptos" w:hAnsi="Aptos"/>
                                      <w:b/>
                                      <w:color w:val="FFFFFF" w:themeColor="background1"/>
                                      <w:sz w:val="40"/>
                                      <w:highlight w:val="green"/>
                                    </w:rPr>
                                  </w:pPr>
                                  <w:r>
                                    <w:rPr>
                                      <w:rFonts w:ascii="Aptos" w:hAnsi="Aptos"/>
                                      <w:b/>
                                      <w:color w:val="FFFFFF" w:themeColor="background1"/>
                                      <w:sz w:val="40"/>
                                    </w:rPr>
                                    <w:t>October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53.4pt;margin-top:13pt;width:264.2pt;height:93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" filled="f" stroked="f">
                      <v:textbox>
                        <w:txbxContent>
                          <w:p w14:paraId="1BD89C44" w14:textId="5A2FE8FF" w:rsidR="00607EFA"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4B469A">
                              <w:rPr>
                                <w:rFonts w:ascii="Aptos" w:hAnsi="Aptos"/>
                                <w:b/>
                                <w:color w:val="FFFFFF" w:themeColor="background1"/>
                                <w:sz w:val="40"/>
                              </w:rPr>
                              <w:t>58</w:t>
                            </w:r>
                          </w:p>
                          <w:p w14:paraId="5863E14F" w14:textId="527EF80C" w:rsidR="004B469A" w:rsidRPr="002A78B2" w:rsidRDefault="004B469A" w:rsidP="00E220B7">
                            <w:pPr>
                              <w:jc w:val="center"/>
                              <w:rPr>
                                <w:rFonts w:ascii="Aptos" w:hAnsi="Aptos"/>
                                <w:b/>
                                <w:color w:val="FFFFFF" w:themeColor="background1"/>
                                <w:sz w:val="40"/>
                                <w:highlight w:val="green"/>
                              </w:rPr>
                            </w:pPr>
                            <w:r>
                              <w:rPr>
                                <w:rFonts w:ascii="Aptos" w:hAnsi="Aptos"/>
                                <w:b/>
                                <w:color w:val="FFFFFF" w:themeColor="background1"/>
                                <w:sz w:val="40"/>
                              </w:rPr>
                              <w:t>October 2025</w:t>
                            </w:r>
                          </w:p>
                        </w:txbxContent>
                      </v:textbox>
                    </v:shape>
                  </w:pict>
                </mc:Fallback>
              </mc:AlternateContent>
            </w:r>
          </w:p>
          <w:p w14:paraId="326822A7"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397FC52E">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FDAD1B9" w14:textId="77777777" w:rsidTr="00802392">
        <w:trPr>
          <w:trHeight w:val="523"/>
        </w:trPr>
        <w:tc>
          <w:tcPr>
            <w:tcW w:w="11340" w:type="dxa"/>
            <w:tcBorders>
              <w:bottom w:val="nil"/>
            </w:tcBorders>
            <w:shd w:val="clear" w:color="auto" w:fill="002060"/>
          </w:tcPr>
          <w:p w14:paraId="694D26EA" w14:textId="51B42CE8" w:rsidR="0090736B" w:rsidRPr="002A78B2" w:rsidRDefault="0075208A" w:rsidP="00931014">
            <w:pPr>
              <w:ind w:right="-136"/>
              <w:jc w:val="center"/>
              <w:rPr>
                <w:rFonts w:ascii="Aptos" w:hAnsi="Aptos" w:cs="Arial"/>
                <w:noProof/>
                <w:color w:val="002060"/>
                <w:sz w:val="24"/>
                <w:szCs w:val="24"/>
                <w:lang w:eastAsia="en-AU"/>
              </w:rPr>
            </w:pPr>
            <w:r w:rsidRPr="002A78B2">
              <w:rPr>
                <w:rFonts w:ascii="Aptos" w:hAnsi="Aptos" w:cstheme="minorHAnsi"/>
                <w:color w:val="FFFFFF" w:themeColor="background1"/>
                <w:sz w:val="24"/>
                <w:szCs w:val="24"/>
              </w:rPr>
              <w:t>Th</w:t>
            </w:r>
            <w:r w:rsidR="002A78B2" w:rsidRPr="002A78B2">
              <w:rPr>
                <w:rFonts w:ascii="Aptos" w:hAnsi="Aptos" w:cstheme="minorHAnsi"/>
                <w:color w:val="FFFFFF" w:themeColor="background1"/>
                <w:sz w:val="24"/>
                <w:szCs w:val="24"/>
              </w:rPr>
              <w:t xml:space="preserve">is </w:t>
            </w:r>
            <w:r w:rsidRPr="002A78B2">
              <w:rPr>
                <w:rFonts w:ascii="Aptos" w:hAnsi="Aptos" w:cstheme="minorHAnsi"/>
                <w:b/>
                <w:iCs/>
                <w:color w:val="FFFFFF" w:themeColor="background1"/>
                <w:sz w:val="24"/>
                <w:szCs w:val="24"/>
              </w:rPr>
              <w:t>Newsletter</w:t>
            </w:r>
            <w:r w:rsidRPr="002A78B2">
              <w:rPr>
                <w:rFonts w:ascii="Aptos" w:hAnsi="Aptos" w:cstheme="minorHAnsi"/>
                <w:iCs/>
                <w:color w:val="FFFFFF" w:themeColor="background1"/>
                <w:sz w:val="24"/>
                <w:szCs w:val="24"/>
              </w:rPr>
              <w:t xml:space="preserve"> </w:t>
            </w:r>
            <w:r w:rsidR="0012303C" w:rsidRPr="002A78B2">
              <w:rPr>
                <w:rFonts w:ascii="Aptos" w:hAnsi="Aptos" w:cstheme="minorHAnsi"/>
                <w:color w:val="FFFFFF" w:themeColor="background1"/>
                <w:sz w:val="24"/>
                <w:szCs w:val="24"/>
              </w:rPr>
              <w:t xml:space="preserve">is issued to provide </w:t>
            </w:r>
            <w:r w:rsidRPr="002A78B2">
              <w:rPr>
                <w:rFonts w:ascii="Aptos" w:hAnsi="Aptos" w:cstheme="minorHAnsi"/>
                <w:color w:val="FFFFFF" w:themeColor="background1"/>
                <w:sz w:val="24"/>
                <w:szCs w:val="24"/>
              </w:rPr>
              <w:t>update</w:t>
            </w:r>
            <w:r w:rsidR="0012303C" w:rsidRPr="002A78B2">
              <w:rPr>
                <w:rFonts w:ascii="Aptos" w:hAnsi="Aptos" w:cstheme="minorHAnsi"/>
                <w:color w:val="FFFFFF" w:themeColor="background1"/>
                <w:sz w:val="24"/>
                <w:szCs w:val="24"/>
              </w:rPr>
              <w:t>s</w:t>
            </w:r>
            <w:r w:rsidRPr="002A78B2">
              <w:rPr>
                <w:rFonts w:ascii="Aptos" w:hAnsi="Aptos" w:cstheme="minorHAnsi"/>
                <w:color w:val="FFFFFF" w:themeColor="background1"/>
                <w:sz w:val="24"/>
                <w:szCs w:val="24"/>
              </w:rPr>
              <w:t xml:space="preserve"> to D</w:t>
            </w:r>
            <w:r w:rsidR="002A78B2" w:rsidRPr="002A78B2">
              <w:rPr>
                <w:rFonts w:ascii="Aptos" w:hAnsi="Aptos" w:cstheme="minorHAnsi"/>
                <w:color w:val="FFFFFF" w:themeColor="background1"/>
                <w:sz w:val="24"/>
                <w:szCs w:val="24"/>
              </w:rPr>
              <w:t>VA contracted Community Nursing</w:t>
            </w:r>
            <w:r w:rsidRPr="002A78B2">
              <w:rPr>
                <w:rFonts w:ascii="Aptos" w:hAnsi="Aptos" w:cstheme="minorHAnsi"/>
                <w:color w:val="FFFFFF" w:themeColor="background1"/>
                <w:sz w:val="24"/>
                <w:szCs w:val="24"/>
              </w:rPr>
              <w:t xml:space="preserve"> provide</w:t>
            </w:r>
            <w:r w:rsidR="0012303C" w:rsidRPr="002A78B2">
              <w:rPr>
                <w:rFonts w:ascii="Aptos" w:hAnsi="Aptos" w:cstheme="minorHAnsi"/>
                <w:color w:val="FFFFFF" w:themeColor="background1"/>
                <w:sz w:val="24"/>
                <w:szCs w:val="24"/>
              </w:rPr>
              <w:t>rs</w:t>
            </w:r>
            <w:r w:rsidR="002A78B2" w:rsidRPr="002A78B2">
              <w:rPr>
                <w:rFonts w:ascii="Aptos" w:hAnsi="Aptos" w:cstheme="minorHAnsi"/>
                <w:color w:val="FFFFFF" w:themeColor="background1"/>
                <w:sz w:val="24"/>
                <w:szCs w:val="24"/>
              </w:rPr>
              <w:t>.</w:t>
            </w:r>
          </w:p>
        </w:tc>
      </w:tr>
      <w:tr w:rsidR="00035BB5" w:rsidRPr="000A61E2" w14:paraId="0BB536D7" w14:textId="77777777" w:rsidTr="00802392">
        <w:trPr>
          <w:trHeight w:val="2956"/>
        </w:trPr>
        <w:tc>
          <w:tcPr>
            <w:tcW w:w="11340" w:type="dxa"/>
            <w:tcBorders>
              <w:top w:val="nil"/>
              <w:bottom w:val="nil"/>
            </w:tcBorders>
            <w:shd w:val="clear" w:color="auto" w:fill="DEEAF6" w:themeFill="accent1" w:themeFillTint="33"/>
          </w:tcPr>
          <w:p w14:paraId="662EB35D" w14:textId="77777777" w:rsidR="009C2CD4" w:rsidRPr="009C2CD4" w:rsidRDefault="009C2CD4" w:rsidP="00C44CA6">
            <w:pPr>
              <w:spacing w:line="259" w:lineRule="auto"/>
              <w:rPr>
                <w:rFonts w:ascii="Aptos" w:hAnsi="Aptos" w:cs="Arial"/>
                <w:color w:val="002060"/>
                <w:sz w:val="16"/>
                <w:szCs w:val="16"/>
              </w:rPr>
            </w:pPr>
          </w:p>
          <w:p w14:paraId="05D6EFC6" w14:textId="3ACD0467" w:rsidR="00C44CA6" w:rsidRPr="000A61E2" w:rsidRDefault="00C44CA6" w:rsidP="00C44CA6">
            <w:pPr>
              <w:spacing w:line="259" w:lineRule="auto"/>
              <w:rPr>
                <w:rFonts w:ascii="Aptos" w:hAnsi="Aptos" w:cs="Arial"/>
                <w:color w:val="002060"/>
                <w:sz w:val="36"/>
                <w:szCs w:val="36"/>
              </w:rPr>
            </w:pPr>
            <w:r w:rsidRPr="000A61E2">
              <w:rPr>
                <w:rFonts w:ascii="Aptos" w:hAnsi="Aptos" w:cs="Arial"/>
                <w:color w:val="002060"/>
                <w:sz w:val="36"/>
                <w:szCs w:val="36"/>
              </w:rPr>
              <w:t xml:space="preserve">Notes for Community Nursing </w:t>
            </w:r>
            <w:r w:rsidR="00402FFC" w:rsidRPr="000A61E2">
              <w:rPr>
                <w:rFonts w:ascii="Aptos" w:hAnsi="Aptos" w:cs="Arial"/>
                <w:color w:val="002060"/>
                <w:sz w:val="36"/>
                <w:szCs w:val="36"/>
              </w:rPr>
              <w:t>P</w:t>
            </w:r>
            <w:r w:rsidRPr="000A61E2">
              <w:rPr>
                <w:rFonts w:ascii="Aptos" w:hAnsi="Aptos" w:cs="Arial"/>
                <w:color w:val="002060"/>
                <w:sz w:val="36"/>
                <w:szCs w:val="36"/>
              </w:rPr>
              <w:t>roviders</w:t>
            </w:r>
          </w:p>
          <w:p w14:paraId="38E42EE0" w14:textId="77777777" w:rsidR="00093437" w:rsidRPr="000A61E2" w:rsidRDefault="00093437" w:rsidP="00C44CA6">
            <w:pPr>
              <w:rPr>
                <w:rFonts w:ascii="Aptos" w:hAnsi="Aptos" w:cs="Arial"/>
                <w:color w:val="2F5496" w:themeColor="accent5" w:themeShade="BF"/>
                <w:sz w:val="24"/>
                <w:szCs w:val="24"/>
              </w:rPr>
            </w:pPr>
          </w:p>
          <w:p w14:paraId="09000E49" w14:textId="11A31834" w:rsidR="00035BB5" w:rsidRPr="000A61E2" w:rsidRDefault="00923800" w:rsidP="00C44CA6">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The Notes for Community Nursing Providers (the Notes) have been reviewed and updated, with the updated version taking effect from November 2025</w:t>
            </w:r>
            <w:r w:rsidR="00A63A01" w:rsidRPr="000A61E2">
              <w:rPr>
                <w:rFonts w:ascii="Aptos" w:hAnsi="Aptos" w:cs="Arial"/>
                <w:color w:val="2F5496" w:themeColor="accent5" w:themeShade="BF"/>
                <w:sz w:val="24"/>
                <w:szCs w:val="24"/>
              </w:rPr>
              <w:t>.</w:t>
            </w:r>
          </w:p>
          <w:p w14:paraId="69E996FB" w14:textId="77777777" w:rsidR="00A63A01" w:rsidRPr="000A61E2" w:rsidRDefault="00A63A01" w:rsidP="00C44CA6">
            <w:pPr>
              <w:rPr>
                <w:rFonts w:ascii="Aptos" w:hAnsi="Aptos" w:cs="Arial"/>
                <w:color w:val="2F5496" w:themeColor="accent5" w:themeShade="BF"/>
                <w:sz w:val="24"/>
                <w:szCs w:val="24"/>
              </w:rPr>
            </w:pPr>
          </w:p>
          <w:p w14:paraId="0114CEA4" w14:textId="41F69285" w:rsidR="00A63A01" w:rsidRPr="000A61E2" w:rsidRDefault="00A63A01" w:rsidP="00C44CA6">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Updates to the Notes include:</w:t>
            </w:r>
          </w:p>
          <w:p w14:paraId="248FC60F" w14:textId="3DB1BABB" w:rsidR="00687720" w:rsidRPr="000A61E2" w:rsidRDefault="00687720" w:rsidP="00687720">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Updates to the nurse practitioner referrer category to remove the requirement for Nurse Practitioners to specialise in a Community Nursing field and change the referral period for Nurse Practitioners.  The change to the referral period (from 12 months to 6 weeks) makes the referral period consistent with referrals from hospitals and is in acknowledgement that a client’s GP has ongoing clinical oversight of a client’s care and should provide a referral for ongoing services </w:t>
            </w:r>
            <w:r w:rsidRPr="000A61E2">
              <w:rPr>
                <w:rFonts w:ascii="Aptos" w:hAnsi="Aptos" w:cs="Arial"/>
                <w:i/>
                <w:iCs/>
                <w:color w:val="2F5496" w:themeColor="accent5" w:themeShade="BF"/>
                <w:sz w:val="24"/>
                <w:szCs w:val="24"/>
              </w:rPr>
              <w:t>(Sections 3.2, 3.2.4)</w:t>
            </w:r>
          </w:p>
          <w:p w14:paraId="27B553C0" w14:textId="77777777" w:rsidR="00687720" w:rsidRPr="000A61E2" w:rsidRDefault="00687720" w:rsidP="00687720">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Updates to nursing consumables claiming requirements, including which fee items the consumables items can be claimed with, and clarifying rules for claiming </w:t>
            </w:r>
            <w:r w:rsidRPr="000A61E2">
              <w:rPr>
                <w:rFonts w:ascii="Aptos" w:hAnsi="Aptos" w:cs="Arial"/>
                <w:i/>
                <w:iCs/>
                <w:color w:val="2F5496" w:themeColor="accent5" w:themeShade="BF"/>
                <w:sz w:val="24"/>
                <w:szCs w:val="24"/>
              </w:rPr>
              <w:t>(Sections 6.9 and Attachment D)</w:t>
            </w:r>
          </w:p>
          <w:p w14:paraId="17F1047B" w14:textId="7C207B5D" w:rsidR="00A63A01" w:rsidRPr="000A61E2" w:rsidRDefault="00E8389D" w:rsidP="00A63A01">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Update</w:t>
            </w:r>
            <w:r w:rsidR="001849FD" w:rsidRPr="000A61E2">
              <w:rPr>
                <w:rFonts w:ascii="Aptos" w:hAnsi="Aptos" w:cs="Arial"/>
                <w:color w:val="2F5496" w:themeColor="accent5" w:themeShade="BF"/>
                <w:sz w:val="24"/>
                <w:szCs w:val="24"/>
              </w:rPr>
              <w:t>d information about relevant programs available through the Department of Health, Disability and Ageing following the commencement of the Support at Home program from 1 November 2025</w:t>
            </w:r>
            <w:r w:rsidR="003C2354" w:rsidRPr="000A61E2">
              <w:rPr>
                <w:rFonts w:ascii="Aptos" w:hAnsi="Aptos" w:cs="Arial"/>
                <w:color w:val="2F5496" w:themeColor="accent5" w:themeShade="BF"/>
                <w:sz w:val="24"/>
                <w:szCs w:val="24"/>
              </w:rPr>
              <w:t xml:space="preserve"> </w:t>
            </w:r>
            <w:r w:rsidR="003C2354" w:rsidRPr="000A61E2">
              <w:rPr>
                <w:rFonts w:ascii="Aptos" w:hAnsi="Aptos" w:cs="Arial"/>
                <w:i/>
                <w:iCs/>
                <w:color w:val="2F5496" w:themeColor="accent5" w:themeShade="BF"/>
                <w:sz w:val="24"/>
                <w:szCs w:val="24"/>
              </w:rPr>
              <w:t>(Section 12.4.1)</w:t>
            </w:r>
          </w:p>
          <w:p w14:paraId="00E98800" w14:textId="7392AD85" w:rsidR="00A63A01" w:rsidRPr="000A61E2" w:rsidRDefault="001849FD" w:rsidP="00A63A01">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Inclusion of references to Registered Nurse prescribing guidelines</w:t>
            </w:r>
            <w:r w:rsidR="003B7412" w:rsidRPr="000A61E2">
              <w:rPr>
                <w:rFonts w:ascii="Aptos" w:hAnsi="Aptos" w:cs="Arial"/>
                <w:color w:val="2F5496" w:themeColor="accent5" w:themeShade="BF"/>
                <w:sz w:val="24"/>
                <w:szCs w:val="24"/>
              </w:rPr>
              <w:t xml:space="preserve"> </w:t>
            </w:r>
            <w:r w:rsidR="003B7412" w:rsidRPr="000A61E2">
              <w:rPr>
                <w:rFonts w:ascii="Aptos" w:hAnsi="Aptos" w:cs="Arial"/>
                <w:i/>
                <w:iCs/>
                <w:color w:val="2F5496" w:themeColor="accent5" w:themeShade="BF"/>
                <w:sz w:val="24"/>
                <w:szCs w:val="24"/>
              </w:rPr>
              <w:t xml:space="preserve">(Sections </w:t>
            </w:r>
            <w:r w:rsidR="003C2354" w:rsidRPr="000A61E2">
              <w:rPr>
                <w:rFonts w:ascii="Aptos" w:hAnsi="Aptos" w:cs="Arial"/>
                <w:i/>
                <w:iCs/>
                <w:color w:val="2F5496" w:themeColor="accent5" w:themeShade="BF"/>
                <w:sz w:val="24"/>
                <w:szCs w:val="24"/>
              </w:rPr>
              <w:t>4.2, 6.3.2.2, 10.2)</w:t>
            </w:r>
          </w:p>
          <w:p w14:paraId="0EBFE601" w14:textId="1E841967" w:rsidR="00FC1644" w:rsidRPr="000A61E2" w:rsidRDefault="00FC1644" w:rsidP="00A63A01">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Updated reference</w:t>
            </w:r>
            <w:r w:rsidR="00FD294D" w:rsidRPr="000A61E2">
              <w:rPr>
                <w:rFonts w:ascii="Aptos" w:hAnsi="Aptos" w:cs="Arial"/>
                <w:color w:val="2F5496" w:themeColor="accent5" w:themeShade="BF"/>
                <w:sz w:val="24"/>
                <w:szCs w:val="24"/>
              </w:rPr>
              <w:t>s</w:t>
            </w:r>
            <w:r w:rsidRPr="000A61E2">
              <w:rPr>
                <w:rFonts w:ascii="Aptos" w:hAnsi="Aptos" w:cs="Arial"/>
                <w:color w:val="2F5496" w:themeColor="accent5" w:themeShade="BF"/>
                <w:sz w:val="24"/>
                <w:szCs w:val="24"/>
              </w:rPr>
              <w:t xml:space="preserve"> to classification, majority of care and Schedule of </w:t>
            </w:r>
            <w:r w:rsidR="00877212" w:rsidRPr="000A61E2">
              <w:rPr>
                <w:rFonts w:ascii="Aptos" w:hAnsi="Aptos" w:cs="Arial"/>
                <w:color w:val="2F5496" w:themeColor="accent5" w:themeShade="BF"/>
                <w:sz w:val="24"/>
                <w:szCs w:val="24"/>
              </w:rPr>
              <w:t>Fees for clarity</w:t>
            </w:r>
            <w:r w:rsidR="003C2354" w:rsidRPr="000A61E2">
              <w:rPr>
                <w:rFonts w:ascii="Aptos" w:hAnsi="Aptos" w:cs="Arial"/>
                <w:color w:val="2F5496" w:themeColor="accent5" w:themeShade="BF"/>
                <w:sz w:val="24"/>
                <w:szCs w:val="24"/>
              </w:rPr>
              <w:t xml:space="preserve"> </w:t>
            </w:r>
            <w:r w:rsidR="003C2354" w:rsidRPr="000A61E2">
              <w:rPr>
                <w:rFonts w:ascii="Aptos" w:hAnsi="Aptos" w:cs="Arial"/>
                <w:i/>
                <w:iCs/>
                <w:color w:val="2F5496" w:themeColor="accent5" w:themeShade="BF"/>
                <w:sz w:val="24"/>
                <w:szCs w:val="24"/>
              </w:rPr>
              <w:t>(Multiple Sections)</w:t>
            </w:r>
          </w:p>
          <w:p w14:paraId="1F6D076E" w14:textId="7C47067F" w:rsidR="00877212" w:rsidRPr="000A61E2" w:rsidRDefault="00877212" w:rsidP="00A63A01">
            <w:pPr>
              <w:pStyle w:val="ListParagraph"/>
              <w:numPr>
                <w:ilvl w:val="0"/>
                <w:numId w:val="10"/>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Additional </w:t>
            </w:r>
            <w:r w:rsidR="00A52D59" w:rsidRPr="000A61E2">
              <w:rPr>
                <w:rFonts w:ascii="Aptos" w:hAnsi="Aptos" w:cs="Arial"/>
                <w:color w:val="2F5496" w:themeColor="accent5" w:themeShade="BF"/>
                <w:sz w:val="24"/>
                <w:szCs w:val="24"/>
              </w:rPr>
              <w:t>information</w:t>
            </w:r>
            <w:r w:rsidRPr="000A61E2">
              <w:rPr>
                <w:rFonts w:ascii="Aptos" w:hAnsi="Aptos" w:cs="Arial"/>
                <w:color w:val="2F5496" w:themeColor="accent5" w:themeShade="BF"/>
                <w:sz w:val="24"/>
                <w:szCs w:val="24"/>
              </w:rPr>
              <w:t xml:space="preserve"> for providers about </w:t>
            </w:r>
            <w:r w:rsidR="000A69E8" w:rsidRPr="000A61E2">
              <w:rPr>
                <w:rFonts w:ascii="Aptos" w:hAnsi="Aptos" w:cs="Arial"/>
                <w:color w:val="2F5496" w:themeColor="accent5" w:themeShade="BF"/>
                <w:sz w:val="24"/>
                <w:szCs w:val="24"/>
              </w:rPr>
              <w:t xml:space="preserve">incorrect </w:t>
            </w:r>
            <w:r w:rsidR="003C05D8" w:rsidRPr="000A61E2">
              <w:rPr>
                <w:rFonts w:ascii="Aptos" w:hAnsi="Aptos" w:cs="Arial"/>
                <w:color w:val="2F5496" w:themeColor="accent5" w:themeShade="BF"/>
                <w:sz w:val="24"/>
                <w:szCs w:val="24"/>
              </w:rPr>
              <w:t>payments</w:t>
            </w:r>
            <w:r w:rsidR="000A69E8" w:rsidRPr="000A61E2">
              <w:rPr>
                <w:rFonts w:ascii="Aptos" w:hAnsi="Aptos" w:cs="Arial"/>
                <w:color w:val="2F5496" w:themeColor="accent5" w:themeShade="BF"/>
                <w:sz w:val="24"/>
                <w:szCs w:val="24"/>
              </w:rPr>
              <w:t>, including overpayment</w:t>
            </w:r>
            <w:r w:rsidR="00D63527" w:rsidRPr="000A61E2">
              <w:rPr>
                <w:rFonts w:ascii="Aptos" w:hAnsi="Aptos" w:cs="Arial"/>
                <w:color w:val="2F5496" w:themeColor="accent5" w:themeShade="BF"/>
                <w:sz w:val="24"/>
                <w:szCs w:val="24"/>
              </w:rPr>
              <w:t xml:space="preserve">s and the process to submit voluntary acknowledgements for incorrect payments </w:t>
            </w:r>
            <w:r w:rsidR="003C05D8" w:rsidRPr="000A61E2">
              <w:rPr>
                <w:rFonts w:ascii="Aptos" w:hAnsi="Aptos" w:cs="Arial"/>
                <w:i/>
                <w:iCs/>
                <w:color w:val="2F5496" w:themeColor="accent5" w:themeShade="BF"/>
                <w:sz w:val="24"/>
                <w:szCs w:val="24"/>
              </w:rPr>
              <w:t>(Section 7.13)</w:t>
            </w:r>
          </w:p>
          <w:p w14:paraId="57F3B0F8" w14:textId="77777777" w:rsidR="00A63A01" w:rsidRPr="000A61E2" w:rsidRDefault="00A63A01" w:rsidP="00A63A01">
            <w:pPr>
              <w:rPr>
                <w:rFonts w:ascii="Aptos" w:hAnsi="Aptos" w:cs="Arial"/>
                <w:color w:val="2F5496" w:themeColor="accent5" w:themeShade="BF"/>
                <w:sz w:val="24"/>
                <w:szCs w:val="24"/>
              </w:rPr>
            </w:pPr>
          </w:p>
          <w:p w14:paraId="4D204024" w14:textId="201FCB3B" w:rsidR="00A63A01" w:rsidRPr="000A61E2" w:rsidRDefault="00A63A01" w:rsidP="00A63A01">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The updated version of the Notes is attached, and will be available on the </w:t>
            </w:r>
            <w:hyperlink r:id="rId8" w:history="1">
              <w:r w:rsidR="00E308A9" w:rsidRPr="000A61E2">
                <w:rPr>
                  <w:rStyle w:val="Hyperlink"/>
                  <w:rFonts w:ascii="Aptos" w:hAnsi="Aptos" w:cs="Arial"/>
                  <w:sz w:val="24"/>
                  <w:szCs w:val="24"/>
                </w:rPr>
                <w:t>DVA website</w:t>
              </w:r>
            </w:hyperlink>
            <w:r w:rsidR="005E1DF8" w:rsidRPr="000A61E2">
              <w:rPr>
                <w:rFonts w:ascii="Aptos" w:hAnsi="Aptos" w:cs="Arial"/>
                <w:color w:val="2F5496" w:themeColor="accent5" w:themeShade="BF"/>
                <w:sz w:val="24"/>
                <w:szCs w:val="24"/>
              </w:rPr>
              <w:t>.</w:t>
            </w:r>
          </w:p>
          <w:p w14:paraId="4A7BD55D" w14:textId="5D02B1C7" w:rsidR="00035BB5" w:rsidRPr="000A61E2" w:rsidRDefault="00035BB5" w:rsidP="00035BB5">
            <w:pPr>
              <w:rPr>
                <w:rFonts w:ascii="Aptos" w:hAnsi="Aptos" w:cs="Arial"/>
                <w:b/>
                <w:color w:val="002060"/>
                <w:sz w:val="24"/>
                <w:szCs w:val="24"/>
              </w:rPr>
            </w:pPr>
          </w:p>
        </w:tc>
      </w:tr>
      <w:tr w:rsidR="0079527A" w:rsidRPr="000A61E2" w14:paraId="4A32AF4D" w14:textId="77777777" w:rsidTr="005B19F4">
        <w:trPr>
          <w:trHeight w:val="2835"/>
        </w:trPr>
        <w:tc>
          <w:tcPr>
            <w:tcW w:w="11340" w:type="dxa"/>
            <w:tcBorders>
              <w:top w:val="nil"/>
            </w:tcBorders>
            <w:shd w:val="clear" w:color="auto" w:fill="FBE4D5" w:themeFill="accent2" w:themeFillTint="33"/>
          </w:tcPr>
          <w:p w14:paraId="5D6D0041" w14:textId="77777777" w:rsidR="009C2CD4" w:rsidRPr="009C2CD4" w:rsidRDefault="009C2CD4" w:rsidP="001A22A2">
            <w:pPr>
              <w:rPr>
                <w:rFonts w:ascii="Aptos" w:hAnsi="Aptos" w:cs="Arial"/>
                <w:color w:val="002060"/>
                <w:sz w:val="16"/>
                <w:szCs w:val="16"/>
              </w:rPr>
            </w:pPr>
          </w:p>
          <w:p w14:paraId="1E2EEA14" w14:textId="68B40692" w:rsidR="0079527A" w:rsidRPr="000A61E2" w:rsidRDefault="00B72FA0" w:rsidP="001A22A2">
            <w:pPr>
              <w:rPr>
                <w:rFonts w:ascii="Aptos" w:hAnsi="Aptos" w:cs="Arial"/>
                <w:color w:val="002060"/>
                <w:sz w:val="36"/>
                <w:szCs w:val="36"/>
              </w:rPr>
            </w:pPr>
            <w:r w:rsidRPr="000A61E2">
              <w:rPr>
                <w:rFonts w:ascii="Aptos" w:hAnsi="Aptos" w:cs="Arial"/>
                <w:color w:val="002060"/>
                <w:sz w:val="36"/>
                <w:szCs w:val="36"/>
              </w:rPr>
              <w:t xml:space="preserve">Compliance </w:t>
            </w:r>
            <w:r w:rsidR="005A4765" w:rsidRPr="000A61E2">
              <w:rPr>
                <w:rFonts w:ascii="Aptos" w:hAnsi="Aptos" w:cs="Arial"/>
                <w:color w:val="002060"/>
                <w:sz w:val="36"/>
                <w:szCs w:val="36"/>
              </w:rPr>
              <w:t>and claiming</w:t>
            </w:r>
          </w:p>
          <w:p w14:paraId="03A33A67" w14:textId="77777777" w:rsidR="00093437" w:rsidRPr="000A61E2" w:rsidRDefault="00093437" w:rsidP="005B0F5E">
            <w:pPr>
              <w:rPr>
                <w:rFonts w:ascii="Aptos" w:hAnsi="Aptos"/>
                <w:color w:val="2F5496" w:themeColor="accent5" w:themeShade="BF"/>
                <w:sz w:val="24"/>
                <w:szCs w:val="24"/>
              </w:rPr>
            </w:pPr>
          </w:p>
          <w:p w14:paraId="1E6E4A17" w14:textId="743A823C" w:rsidR="005B0F5E" w:rsidRPr="000A61E2" w:rsidRDefault="005B0F5E" w:rsidP="005B0F5E">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DVA Community Nursing providers are required to deliver nursing services in line with program requirements, as outlined in the Notes for Community Nursing Providers (the Notes) including correct claiming of fee items from the Schedule of Fees (SoF). </w:t>
            </w:r>
          </w:p>
          <w:p w14:paraId="1F0A30B1" w14:textId="77777777" w:rsidR="005B0F5E" w:rsidRPr="000A61E2" w:rsidRDefault="005B0F5E" w:rsidP="005B0F5E">
            <w:pPr>
              <w:rPr>
                <w:rFonts w:ascii="Aptos" w:hAnsi="Aptos"/>
                <w:color w:val="2F5496" w:themeColor="accent5" w:themeShade="BF"/>
                <w:sz w:val="24"/>
                <w:szCs w:val="24"/>
              </w:rPr>
            </w:pPr>
          </w:p>
          <w:p w14:paraId="081D0A28" w14:textId="382A919F" w:rsidR="005B0F5E" w:rsidRPr="000A61E2" w:rsidRDefault="005B0F5E" w:rsidP="005B0F5E">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Routine compliance monitoring activities are built into the program to confirm that providers are complying with the requirements set out in the Notes and </w:t>
            </w:r>
            <w:r w:rsidR="00A972BF" w:rsidRPr="000A61E2">
              <w:rPr>
                <w:rFonts w:ascii="Aptos" w:hAnsi="Aptos"/>
                <w:color w:val="2F5496" w:themeColor="accent5" w:themeShade="BF"/>
                <w:sz w:val="24"/>
                <w:szCs w:val="24"/>
              </w:rPr>
              <w:t xml:space="preserve">are </w:t>
            </w:r>
            <w:r w:rsidRPr="000A61E2">
              <w:rPr>
                <w:rFonts w:ascii="Aptos" w:hAnsi="Aptos"/>
                <w:color w:val="2F5496" w:themeColor="accent5" w:themeShade="BF"/>
                <w:sz w:val="24"/>
                <w:szCs w:val="24"/>
              </w:rPr>
              <w:t xml:space="preserve">claiming appropriately. Compliance reviews </w:t>
            </w:r>
            <w:r w:rsidR="0091560E" w:rsidRPr="000A61E2">
              <w:rPr>
                <w:rFonts w:ascii="Aptos" w:hAnsi="Aptos"/>
                <w:color w:val="2F5496" w:themeColor="accent5" w:themeShade="BF"/>
                <w:sz w:val="24"/>
                <w:szCs w:val="24"/>
              </w:rPr>
              <w:t xml:space="preserve">can </w:t>
            </w:r>
            <w:r w:rsidRPr="000A61E2">
              <w:rPr>
                <w:rFonts w:ascii="Aptos" w:hAnsi="Aptos"/>
                <w:color w:val="2F5496" w:themeColor="accent5" w:themeShade="BF"/>
                <w:sz w:val="24"/>
                <w:szCs w:val="24"/>
              </w:rPr>
              <w:t xml:space="preserve">also give providers the chance to confirm good practice and strengthen processes. </w:t>
            </w:r>
          </w:p>
          <w:p w14:paraId="6204FB1C" w14:textId="77777777" w:rsidR="00B947A7" w:rsidRPr="000A61E2" w:rsidRDefault="00B947A7" w:rsidP="005B0F5E">
            <w:pPr>
              <w:rPr>
                <w:rFonts w:ascii="Aptos" w:hAnsi="Aptos"/>
                <w:color w:val="2F5496" w:themeColor="accent5" w:themeShade="BF"/>
                <w:sz w:val="24"/>
                <w:szCs w:val="24"/>
              </w:rPr>
            </w:pPr>
          </w:p>
          <w:p w14:paraId="08D6C348" w14:textId="7E1CEE14" w:rsidR="0079527A" w:rsidRPr="000A61E2" w:rsidRDefault="005B0F5E" w:rsidP="005B0F5E">
            <w:pPr>
              <w:rPr>
                <w:rFonts w:ascii="Aptos" w:hAnsi="Aptos" w:cs="Arial"/>
                <w:color w:val="2F5496" w:themeColor="accent5" w:themeShade="BF"/>
                <w:sz w:val="24"/>
                <w:szCs w:val="24"/>
              </w:rPr>
            </w:pPr>
            <w:r w:rsidRPr="000A61E2">
              <w:rPr>
                <w:rFonts w:ascii="Aptos" w:hAnsi="Aptos"/>
                <w:color w:val="2F5496" w:themeColor="accent5" w:themeShade="BF"/>
                <w:sz w:val="24"/>
                <w:szCs w:val="24"/>
              </w:rPr>
              <w:t>Adhering to program requirements, maintaining clear and concise documentation and claiming appropriately for services will ensure provider compliance</w:t>
            </w:r>
            <w:r w:rsidR="00B947A7" w:rsidRPr="000A61E2">
              <w:rPr>
                <w:rFonts w:ascii="Aptos" w:hAnsi="Aptos"/>
                <w:color w:val="2F5496" w:themeColor="accent5" w:themeShade="BF"/>
                <w:sz w:val="24"/>
                <w:szCs w:val="24"/>
              </w:rPr>
              <w:t xml:space="preserve"> </w:t>
            </w:r>
            <w:r w:rsidR="00FB1F13" w:rsidRPr="000A61E2">
              <w:rPr>
                <w:rFonts w:ascii="Aptos" w:hAnsi="Aptos"/>
                <w:color w:val="2F5496" w:themeColor="accent5" w:themeShade="BF"/>
                <w:sz w:val="24"/>
                <w:szCs w:val="24"/>
              </w:rPr>
              <w:t>with</w:t>
            </w:r>
            <w:r w:rsidR="00B947A7" w:rsidRPr="000A61E2">
              <w:rPr>
                <w:rFonts w:ascii="Aptos" w:hAnsi="Aptos"/>
                <w:color w:val="2F5496" w:themeColor="accent5" w:themeShade="BF"/>
                <w:sz w:val="24"/>
                <w:szCs w:val="24"/>
              </w:rPr>
              <w:t xml:space="preserve"> the Community Nursing Program</w:t>
            </w:r>
            <w:r w:rsidRPr="000A61E2">
              <w:rPr>
                <w:rFonts w:ascii="Aptos" w:hAnsi="Aptos"/>
                <w:color w:val="2F5496" w:themeColor="accent5" w:themeShade="BF"/>
                <w:sz w:val="24"/>
                <w:szCs w:val="24"/>
              </w:rPr>
              <w:t xml:space="preserve">. </w:t>
            </w:r>
          </w:p>
          <w:p w14:paraId="525F3611" w14:textId="77777777" w:rsidR="00093437" w:rsidRDefault="00093437" w:rsidP="005B0F5E">
            <w:pPr>
              <w:rPr>
                <w:rFonts w:ascii="Aptos" w:hAnsi="Aptos" w:cs="Arial"/>
                <w:color w:val="2F5496" w:themeColor="accent5" w:themeShade="BF"/>
                <w:sz w:val="24"/>
                <w:szCs w:val="24"/>
              </w:rPr>
            </w:pPr>
          </w:p>
          <w:p w14:paraId="371B2D5E" w14:textId="77777777" w:rsidR="000A61E2" w:rsidRDefault="000A61E2" w:rsidP="005B0F5E">
            <w:pPr>
              <w:rPr>
                <w:rFonts w:ascii="Aptos" w:hAnsi="Aptos" w:cs="Arial"/>
                <w:color w:val="2F5496" w:themeColor="accent5" w:themeShade="BF"/>
                <w:sz w:val="24"/>
                <w:szCs w:val="24"/>
              </w:rPr>
            </w:pPr>
          </w:p>
          <w:p w14:paraId="591399F4" w14:textId="77777777" w:rsidR="000A61E2" w:rsidRDefault="000A61E2" w:rsidP="005B0F5E">
            <w:pPr>
              <w:rPr>
                <w:rFonts w:ascii="Aptos" w:hAnsi="Aptos" w:cs="Arial"/>
                <w:color w:val="2F5496" w:themeColor="accent5" w:themeShade="BF"/>
                <w:sz w:val="24"/>
                <w:szCs w:val="24"/>
              </w:rPr>
            </w:pPr>
          </w:p>
          <w:p w14:paraId="64711D76" w14:textId="77777777" w:rsidR="000A61E2" w:rsidRDefault="000A61E2" w:rsidP="005B0F5E">
            <w:pPr>
              <w:rPr>
                <w:rFonts w:ascii="Aptos" w:hAnsi="Aptos" w:cs="Arial"/>
                <w:color w:val="2F5496" w:themeColor="accent5" w:themeShade="BF"/>
                <w:sz w:val="24"/>
                <w:szCs w:val="24"/>
              </w:rPr>
            </w:pPr>
          </w:p>
          <w:p w14:paraId="029C1C6B" w14:textId="77777777" w:rsidR="000A61E2" w:rsidRPr="000A61E2" w:rsidRDefault="000A61E2" w:rsidP="005B0F5E">
            <w:pPr>
              <w:rPr>
                <w:rFonts w:ascii="Aptos" w:hAnsi="Aptos" w:cs="Arial"/>
                <w:color w:val="2F5496" w:themeColor="accent5" w:themeShade="BF"/>
                <w:sz w:val="24"/>
                <w:szCs w:val="24"/>
              </w:rPr>
            </w:pPr>
          </w:p>
          <w:p w14:paraId="028BE7A1" w14:textId="12C23CAC" w:rsidR="000D3126" w:rsidRPr="000A61E2" w:rsidRDefault="000D3126" w:rsidP="000D3126">
            <w:pPr>
              <w:rPr>
                <w:rFonts w:ascii="Aptos" w:hAnsi="Aptos"/>
                <w:b/>
                <w:bCs/>
                <w:color w:val="2F5496" w:themeColor="accent5" w:themeShade="BF"/>
                <w:sz w:val="24"/>
                <w:szCs w:val="24"/>
              </w:rPr>
            </w:pPr>
            <w:r w:rsidRPr="000A61E2">
              <w:rPr>
                <w:rFonts w:ascii="Aptos" w:hAnsi="Aptos"/>
                <w:b/>
                <w:bCs/>
                <w:color w:val="2F5496" w:themeColor="accent5" w:themeShade="BF"/>
                <w:sz w:val="24"/>
                <w:szCs w:val="24"/>
              </w:rPr>
              <w:t xml:space="preserve">Getting </w:t>
            </w:r>
            <w:proofErr w:type="gramStart"/>
            <w:r w:rsidRPr="000A61E2">
              <w:rPr>
                <w:rFonts w:ascii="Aptos" w:hAnsi="Aptos"/>
                <w:b/>
                <w:bCs/>
                <w:color w:val="2F5496" w:themeColor="accent5" w:themeShade="BF"/>
                <w:sz w:val="24"/>
                <w:szCs w:val="24"/>
              </w:rPr>
              <w:t>claiming</w:t>
            </w:r>
            <w:proofErr w:type="gramEnd"/>
            <w:r w:rsidRPr="000A61E2">
              <w:rPr>
                <w:rFonts w:ascii="Aptos" w:hAnsi="Aptos"/>
                <w:b/>
                <w:bCs/>
                <w:color w:val="2F5496" w:themeColor="accent5" w:themeShade="BF"/>
                <w:sz w:val="24"/>
                <w:szCs w:val="24"/>
              </w:rPr>
              <w:t xml:space="preserve"> right</w:t>
            </w:r>
          </w:p>
          <w:p w14:paraId="4C41AEC7" w14:textId="2704CF5B" w:rsidR="000D3126" w:rsidRPr="000A61E2" w:rsidRDefault="000D3126" w:rsidP="000D3126">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Accurate claiming of the SoF </w:t>
            </w:r>
            <w:r w:rsidR="00383E13" w:rsidRPr="000A61E2">
              <w:rPr>
                <w:rFonts w:ascii="Aptos" w:hAnsi="Aptos"/>
                <w:color w:val="2F5496" w:themeColor="accent5" w:themeShade="BF"/>
                <w:sz w:val="24"/>
                <w:szCs w:val="24"/>
              </w:rPr>
              <w:t xml:space="preserve">items </w:t>
            </w:r>
            <w:r w:rsidRPr="000A61E2">
              <w:rPr>
                <w:rFonts w:ascii="Aptos" w:hAnsi="Aptos"/>
                <w:color w:val="2F5496" w:themeColor="accent5" w:themeShade="BF"/>
                <w:sz w:val="24"/>
                <w:szCs w:val="24"/>
              </w:rPr>
              <w:t>is an essential part of provider compliance.  Providers are required to:</w:t>
            </w:r>
          </w:p>
          <w:p w14:paraId="0EDAF758" w14:textId="73181EA5" w:rsidR="000D3126" w:rsidRPr="000A61E2" w:rsidRDefault="00B16577" w:rsidP="00B16577">
            <w:pPr>
              <w:numPr>
                <w:ilvl w:val="0"/>
                <w:numId w:val="6"/>
              </w:numPr>
              <w:tabs>
                <w:tab w:val="left" w:pos="1156"/>
              </w:tabs>
              <w:ind w:left="1156" w:hanging="283"/>
              <w:rPr>
                <w:rFonts w:ascii="Aptos" w:hAnsi="Aptos"/>
                <w:color w:val="2F5496" w:themeColor="accent5" w:themeShade="BF"/>
                <w:sz w:val="24"/>
                <w:szCs w:val="24"/>
              </w:rPr>
            </w:pPr>
            <w:r w:rsidRPr="000A61E2">
              <w:rPr>
                <w:rFonts w:ascii="Aptos" w:hAnsi="Aptos"/>
                <w:b/>
                <w:bCs/>
                <w:noProof/>
                <w:color w:val="2F5496" w:themeColor="accent5" w:themeShade="BF"/>
                <w:sz w:val="24"/>
                <w:szCs w:val="24"/>
                <w14:ligatures w14:val="standardContextual"/>
              </w:rPr>
              <w:drawing>
                <wp:anchor distT="0" distB="0" distL="114300" distR="114300" simplePos="0" relativeHeight="251661312" behindDoc="0" locked="0" layoutInCell="1" allowOverlap="1" wp14:anchorId="4F648592" wp14:editId="1E0819FA">
                  <wp:simplePos x="0" y="0"/>
                  <wp:positionH relativeFrom="column">
                    <wp:posOffset>5080</wp:posOffset>
                  </wp:positionH>
                  <wp:positionV relativeFrom="paragraph">
                    <wp:posOffset>42545</wp:posOffset>
                  </wp:positionV>
                  <wp:extent cx="448945" cy="438150"/>
                  <wp:effectExtent l="0" t="0" r="8255" b="0"/>
                  <wp:wrapSquare wrapText="bothSides"/>
                  <wp:docPr id="840363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48567" name="Picture 1594648567"/>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48945" cy="438150"/>
                          </a:xfrm>
                          <a:prstGeom prst="rect">
                            <a:avLst/>
                          </a:prstGeom>
                        </pic:spPr>
                      </pic:pic>
                    </a:graphicData>
                  </a:graphic>
                  <wp14:sizeRelH relativeFrom="margin">
                    <wp14:pctWidth>0</wp14:pctWidth>
                  </wp14:sizeRelH>
                  <wp14:sizeRelV relativeFrom="margin">
                    <wp14:pctHeight>0</wp14:pctHeight>
                  </wp14:sizeRelV>
                </wp:anchor>
              </w:drawing>
            </w:r>
            <w:r w:rsidR="000D3126" w:rsidRPr="000A61E2">
              <w:rPr>
                <w:rFonts w:ascii="Aptos" w:hAnsi="Aptos"/>
                <w:color w:val="2F5496" w:themeColor="accent5" w:themeShade="BF"/>
                <w:sz w:val="24"/>
                <w:szCs w:val="24"/>
              </w:rPr>
              <w:t>claim only for eligible services as outlined in the Notes</w:t>
            </w:r>
          </w:p>
          <w:p w14:paraId="014F966E" w14:textId="108F3A6E" w:rsidR="000D3126" w:rsidRPr="000A61E2" w:rsidRDefault="000D3126" w:rsidP="00B16577">
            <w:pPr>
              <w:numPr>
                <w:ilvl w:val="0"/>
                <w:numId w:val="6"/>
              </w:numPr>
              <w:tabs>
                <w:tab w:val="left" w:pos="1156"/>
              </w:tabs>
              <w:ind w:left="426" w:firstLine="21"/>
              <w:rPr>
                <w:rFonts w:ascii="Aptos" w:hAnsi="Aptos"/>
                <w:color w:val="2F5496" w:themeColor="accent5" w:themeShade="BF"/>
                <w:sz w:val="24"/>
                <w:szCs w:val="24"/>
              </w:rPr>
            </w:pPr>
            <w:r w:rsidRPr="000A61E2">
              <w:rPr>
                <w:rFonts w:ascii="Aptos" w:hAnsi="Aptos"/>
                <w:color w:val="2F5496" w:themeColor="accent5" w:themeShade="BF"/>
                <w:sz w:val="24"/>
                <w:szCs w:val="24"/>
              </w:rPr>
              <w:t>ensure claims match assessed care and services delivered</w:t>
            </w:r>
          </w:p>
          <w:p w14:paraId="654ABAEC" w14:textId="44B51706" w:rsidR="000D3126" w:rsidRPr="000A61E2" w:rsidRDefault="000D3126" w:rsidP="00B16577">
            <w:pPr>
              <w:numPr>
                <w:ilvl w:val="0"/>
                <w:numId w:val="6"/>
              </w:numPr>
              <w:tabs>
                <w:tab w:val="left" w:pos="1156"/>
              </w:tabs>
              <w:ind w:left="426" w:firstLine="21"/>
              <w:rPr>
                <w:rFonts w:ascii="Aptos" w:hAnsi="Aptos"/>
                <w:color w:val="2F5496" w:themeColor="accent5" w:themeShade="BF"/>
                <w:sz w:val="24"/>
                <w:szCs w:val="24"/>
              </w:rPr>
            </w:pPr>
            <w:r w:rsidRPr="000A61E2">
              <w:rPr>
                <w:rFonts w:ascii="Aptos" w:hAnsi="Aptos"/>
                <w:color w:val="2F5496" w:themeColor="accent5" w:themeShade="BF"/>
                <w:sz w:val="24"/>
                <w:szCs w:val="24"/>
              </w:rPr>
              <w:t>maintain supporting evidence and clinical documentation such as:</w:t>
            </w:r>
          </w:p>
          <w:p w14:paraId="7EF1DC14" w14:textId="313F0818" w:rsidR="000D3126" w:rsidRPr="000A61E2" w:rsidRDefault="000D3126" w:rsidP="00AF6BD6">
            <w:pPr>
              <w:numPr>
                <w:ilvl w:val="1"/>
                <w:numId w:val="6"/>
              </w:numPr>
              <w:ind w:left="1581" w:hanging="283"/>
              <w:rPr>
                <w:rFonts w:ascii="Aptos" w:hAnsi="Aptos"/>
                <w:color w:val="2F5496" w:themeColor="accent5" w:themeShade="BF"/>
                <w:sz w:val="24"/>
                <w:szCs w:val="24"/>
              </w:rPr>
            </w:pPr>
            <w:r w:rsidRPr="000A61E2">
              <w:rPr>
                <w:rFonts w:ascii="Aptos" w:hAnsi="Aptos"/>
                <w:color w:val="2F5496" w:themeColor="accent5" w:themeShade="BF"/>
                <w:sz w:val="24"/>
                <w:szCs w:val="24"/>
              </w:rPr>
              <w:t>referral/s from authorised referral source</w:t>
            </w:r>
          </w:p>
          <w:p w14:paraId="1F94E999" w14:textId="6F44E439" w:rsidR="000D3126" w:rsidRPr="000A61E2" w:rsidRDefault="000D3126" w:rsidP="00AF6BD6">
            <w:pPr>
              <w:numPr>
                <w:ilvl w:val="1"/>
                <w:numId w:val="6"/>
              </w:numPr>
              <w:ind w:left="1581" w:hanging="283"/>
              <w:rPr>
                <w:rFonts w:ascii="Aptos" w:hAnsi="Aptos"/>
                <w:color w:val="2F5496" w:themeColor="accent5" w:themeShade="BF"/>
                <w:sz w:val="24"/>
                <w:szCs w:val="24"/>
              </w:rPr>
            </w:pPr>
            <w:r w:rsidRPr="000A61E2">
              <w:rPr>
                <w:rFonts w:ascii="Aptos" w:hAnsi="Aptos"/>
                <w:color w:val="2F5496" w:themeColor="accent5" w:themeShade="BF"/>
                <w:sz w:val="24"/>
                <w:szCs w:val="24"/>
              </w:rPr>
              <w:t>legible and detailed clinical progress notes with dates, names and staff roles</w:t>
            </w:r>
          </w:p>
          <w:p w14:paraId="2ED24FA6" w14:textId="0C7F80CE" w:rsidR="000D3126" w:rsidRPr="000A61E2" w:rsidRDefault="000D3126" w:rsidP="00AF6BD6">
            <w:pPr>
              <w:numPr>
                <w:ilvl w:val="1"/>
                <w:numId w:val="6"/>
              </w:numPr>
              <w:ind w:left="1581" w:hanging="283"/>
              <w:rPr>
                <w:rFonts w:ascii="Aptos" w:hAnsi="Aptos"/>
                <w:color w:val="2F5496" w:themeColor="accent5" w:themeShade="BF"/>
                <w:sz w:val="24"/>
                <w:szCs w:val="24"/>
              </w:rPr>
            </w:pPr>
            <w:r w:rsidRPr="000A61E2">
              <w:rPr>
                <w:rFonts w:ascii="Aptos" w:hAnsi="Aptos"/>
                <w:color w:val="2F5496" w:themeColor="accent5" w:themeShade="BF"/>
                <w:sz w:val="24"/>
                <w:szCs w:val="24"/>
              </w:rPr>
              <w:t>comprehensive nursing assessment</w:t>
            </w:r>
            <w:r w:rsidR="00E6085A"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 xml:space="preserve"> </w:t>
            </w:r>
          </w:p>
          <w:p w14:paraId="55466E91" w14:textId="31502DEA" w:rsidR="000D3126" w:rsidRPr="000A61E2" w:rsidRDefault="000D3126" w:rsidP="00AF6BD6">
            <w:pPr>
              <w:numPr>
                <w:ilvl w:val="1"/>
                <w:numId w:val="6"/>
              </w:numPr>
              <w:ind w:left="1581" w:hanging="283"/>
              <w:rPr>
                <w:rFonts w:ascii="Aptos" w:hAnsi="Aptos"/>
                <w:color w:val="2F5496" w:themeColor="accent5" w:themeShade="BF"/>
                <w:sz w:val="24"/>
                <w:szCs w:val="24"/>
              </w:rPr>
            </w:pPr>
            <w:r w:rsidRPr="000A61E2">
              <w:rPr>
                <w:rFonts w:ascii="Aptos" w:hAnsi="Aptos"/>
                <w:color w:val="2F5496" w:themeColor="accent5" w:themeShade="BF"/>
                <w:sz w:val="24"/>
                <w:szCs w:val="24"/>
              </w:rPr>
              <w:t xml:space="preserve">signed </w:t>
            </w:r>
            <w:r w:rsidR="0024329A" w:rsidRPr="000A61E2">
              <w:rPr>
                <w:rFonts w:ascii="Aptos" w:hAnsi="Aptos"/>
                <w:color w:val="2F5496" w:themeColor="accent5" w:themeShade="BF"/>
                <w:sz w:val="24"/>
                <w:szCs w:val="24"/>
              </w:rPr>
              <w:t xml:space="preserve">and dated </w:t>
            </w:r>
            <w:r w:rsidRPr="000A61E2">
              <w:rPr>
                <w:rFonts w:ascii="Aptos" w:hAnsi="Aptos"/>
                <w:color w:val="2F5496" w:themeColor="accent5" w:themeShade="BF"/>
                <w:sz w:val="24"/>
                <w:szCs w:val="24"/>
              </w:rPr>
              <w:t>care plan</w:t>
            </w:r>
            <w:r w:rsidR="00E6085A" w:rsidRPr="000A61E2">
              <w:rPr>
                <w:rFonts w:ascii="Aptos" w:hAnsi="Aptos"/>
                <w:color w:val="2F5496" w:themeColor="accent5" w:themeShade="BF"/>
                <w:sz w:val="24"/>
                <w:szCs w:val="24"/>
              </w:rPr>
              <w:t>s</w:t>
            </w:r>
          </w:p>
          <w:p w14:paraId="5AFCE995" w14:textId="2B74AE61" w:rsidR="005B0F5E" w:rsidRPr="000A61E2" w:rsidRDefault="000D3126" w:rsidP="00AF6BD6">
            <w:pPr>
              <w:numPr>
                <w:ilvl w:val="1"/>
                <w:numId w:val="6"/>
              </w:numPr>
              <w:ind w:left="1581" w:hanging="283"/>
              <w:rPr>
                <w:rFonts w:ascii="Aptos" w:hAnsi="Aptos"/>
                <w:color w:val="2F5496" w:themeColor="accent5" w:themeShade="BF"/>
                <w:sz w:val="24"/>
                <w:szCs w:val="24"/>
              </w:rPr>
            </w:pPr>
            <w:r w:rsidRPr="000A61E2">
              <w:rPr>
                <w:rFonts w:ascii="Aptos" w:hAnsi="Aptos"/>
                <w:color w:val="2F5496" w:themeColor="accent5" w:themeShade="BF"/>
                <w:sz w:val="24"/>
                <w:szCs w:val="24"/>
              </w:rPr>
              <w:t>best practice wound care charts.</w:t>
            </w:r>
          </w:p>
          <w:p w14:paraId="26A41011" w14:textId="5A350CC7" w:rsidR="00F15500" w:rsidRPr="000A61E2" w:rsidRDefault="00F15500" w:rsidP="00F15500">
            <w:pPr>
              <w:rPr>
                <w:rFonts w:ascii="Aptos" w:hAnsi="Aptos"/>
                <w:color w:val="2F5496" w:themeColor="accent5" w:themeShade="BF"/>
                <w:sz w:val="24"/>
                <w:szCs w:val="24"/>
              </w:rPr>
            </w:pPr>
          </w:p>
          <w:p w14:paraId="70593E28" w14:textId="1DC8F442" w:rsidR="00F92B9F" w:rsidRPr="000A61E2" w:rsidRDefault="00F92B9F" w:rsidP="00F92B9F">
            <w:pPr>
              <w:rPr>
                <w:rFonts w:ascii="Aptos" w:hAnsi="Aptos"/>
                <w:b/>
                <w:bCs/>
                <w:color w:val="2F5496" w:themeColor="accent5" w:themeShade="BF"/>
                <w:sz w:val="24"/>
                <w:szCs w:val="24"/>
              </w:rPr>
            </w:pPr>
            <w:r w:rsidRPr="000A61E2">
              <w:rPr>
                <w:rFonts w:ascii="Aptos" w:hAnsi="Aptos"/>
                <w:b/>
                <w:bCs/>
                <w:color w:val="2F5496" w:themeColor="accent5" w:themeShade="BF"/>
                <w:sz w:val="24"/>
                <w:szCs w:val="24"/>
              </w:rPr>
              <w:t>Tips</w:t>
            </w:r>
          </w:p>
          <w:p w14:paraId="0BC74EE0" w14:textId="3F17535B" w:rsidR="00914285" w:rsidRPr="000A61E2" w:rsidRDefault="00914285" w:rsidP="00F92B9F">
            <w:pPr>
              <w:rPr>
                <w:rFonts w:ascii="Aptos" w:hAnsi="Aptos"/>
                <w:b/>
                <w:bCs/>
                <w:color w:val="2F5496" w:themeColor="accent5" w:themeShade="BF"/>
                <w:sz w:val="24"/>
                <w:szCs w:val="24"/>
              </w:rPr>
            </w:pPr>
            <w:r w:rsidRPr="000A61E2">
              <w:rPr>
                <w:rFonts w:ascii="Aptos" w:hAnsi="Aptos"/>
                <w:b/>
                <w:bCs/>
                <w:noProof/>
                <w:color w:val="2F5496" w:themeColor="accent5" w:themeShade="BF"/>
                <w:sz w:val="24"/>
                <w:szCs w:val="24"/>
                <w14:ligatures w14:val="standardContextual"/>
              </w:rPr>
              <w:drawing>
                <wp:anchor distT="0" distB="0" distL="114300" distR="114300" simplePos="0" relativeHeight="251662336" behindDoc="0" locked="0" layoutInCell="1" allowOverlap="1" wp14:anchorId="799D57AB" wp14:editId="2A5C95B3">
                  <wp:simplePos x="0" y="0"/>
                  <wp:positionH relativeFrom="column">
                    <wp:posOffset>14288</wp:posOffset>
                  </wp:positionH>
                  <wp:positionV relativeFrom="paragraph">
                    <wp:posOffset>55880</wp:posOffset>
                  </wp:positionV>
                  <wp:extent cx="490220" cy="656590"/>
                  <wp:effectExtent l="0" t="0" r="5080" b="0"/>
                  <wp:wrapSquare wrapText="bothSides"/>
                  <wp:docPr id="1937088435" name="Picture 7" descr="A light bulb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88435" name="Picture 7" descr="A light bulb with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90220" cy="656590"/>
                          </a:xfrm>
                          <a:prstGeom prst="rect">
                            <a:avLst/>
                          </a:prstGeom>
                        </pic:spPr>
                      </pic:pic>
                    </a:graphicData>
                  </a:graphic>
                  <wp14:sizeRelH relativeFrom="margin">
                    <wp14:pctWidth>0</wp14:pctWidth>
                  </wp14:sizeRelH>
                  <wp14:sizeRelV relativeFrom="margin">
                    <wp14:pctHeight>0</wp14:pctHeight>
                  </wp14:sizeRelV>
                </wp:anchor>
              </w:drawing>
            </w:r>
          </w:p>
          <w:p w14:paraId="2AB28782" w14:textId="774656C5" w:rsidR="00F92B9F" w:rsidRPr="000A61E2" w:rsidRDefault="00F92B9F" w:rsidP="00914285">
            <w:pPr>
              <w:numPr>
                <w:ilvl w:val="0"/>
                <w:numId w:val="6"/>
              </w:numPr>
              <w:tabs>
                <w:tab w:val="left" w:pos="1305"/>
              </w:tabs>
              <w:rPr>
                <w:rFonts w:ascii="Aptos" w:hAnsi="Aptos"/>
                <w:color w:val="2F5496" w:themeColor="accent5" w:themeShade="BF"/>
                <w:sz w:val="24"/>
                <w:szCs w:val="24"/>
              </w:rPr>
            </w:pPr>
            <w:r w:rsidRPr="000A61E2">
              <w:rPr>
                <w:rFonts w:ascii="Aptos" w:hAnsi="Aptos"/>
                <w:color w:val="2F5496" w:themeColor="accent5" w:themeShade="BF"/>
                <w:sz w:val="24"/>
                <w:szCs w:val="24"/>
              </w:rPr>
              <w:t>Refer to the Notes regularly and read the Community Nursing newsletters for updates</w:t>
            </w:r>
          </w:p>
          <w:p w14:paraId="1E054D30" w14:textId="2D2B46CC" w:rsidR="00F92B9F" w:rsidRPr="000A61E2" w:rsidRDefault="00F92B9F" w:rsidP="00914285">
            <w:pPr>
              <w:numPr>
                <w:ilvl w:val="0"/>
                <w:numId w:val="6"/>
              </w:numPr>
              <w:tabs>
                <w:tab w:val="left" w:pos="1305"/>
              </w:tabs>
              <w:rPr>
                <w:rFonts w:ascii="Aptos" w:hAnsi="Aptos"/>
                <w:color w:val="2F5496" w:themeColor="accent5" w:themeShade="BF"/>
                <w:sz w:val="24"/>
                <w:szCs w:val="24"/>
              </w:rPr>
            </w:pPr>
            <w:r w:rsidRPr="000A61E2">
              <w:rPr>
                <w:rFonts w:ascii="Aptos" w:hAnsi="Aptos"/>
                <w:color w:val="2F5496" w:themeColor="accent5" w:themeShade="BF"/>
                <w:sz w:val="24"/>
                <w:szCs w:val="24"/>
              </w:rPr>
              <w:t>Use clear, concise, consistent documentation practices</w:t>
            </w:r>
          </w:p>
          <w:p w14:paraId="4C6EDE70" w14:textId="77777777" w:rsidR="00F92B9F" w:rsidRPr="000A61E2" w:rsidRDefault="00F92B9F" w:rsidP="00914285">
            <w:pPr>
              <w:numPr>
                <w:ilvl w:val="0"/>
                <w:numId w:val="6"/>
              </w:numPr>
              <w:tabs>
                <w:tab w:val="left" w:pos="1305"/>
              </w:tabs>
              <w:rPr>
                <w:rFonts w:ascii="Aptos" w:hAnsi="Aptos"/>
                <w:color w:val="2F5496" w:themeColor="accent5" w:themeShade="BF"/>
                <w:sz w:val="24"/>
                <w:szCs w:val="24"/>
              </w:rPr>
            </w:pPr>
            <w:r w:rsidRPr="000A61E2">
              <w:rPr>
                <w:rFonts w:ascii="Aptos" w:hAnsi="Aptos"/>
                <w:color w:val="2F5496" w:themeColor="accent5" w:themeShade="BF"/>
                <w:sz w:val="24"/>
                <w:szCs w:val="24"/>
              </w:rPr>
              <w:t>Make compliance part of daily practice, not just when an audit occurs.</w:t>
            </w:r>
          </w:p>
          <w:p w14:paraId="54584AC6" w14:textId="77777777" w:rsidR="00F92B9F" w:rsidRPr="000A61E2" w:rsidRDefault="00F92B9F" w:rsidP="00F92B9F">
            <w:pPr>
              <w:ind w:left="720"/>
              <w:rPr>
                <w:rFonts w:ascii="Aptos" w:hAnsi="Aptos"/>
                <w:color w:val="2F5496" w:themeColor="accent5" w:themeShade="BF"/>
                <w:sz w:val="24"/>
                <w:szCs w:val="24"/>
              </w:rPr>
            </w:pPr>
          </w:p>
          <w:p w14:paraId="5A3970D5" w14:textId="414F4D36" w:rsidR="00F92B9F" w:rsidRPr="000A61E2" w:rsidRDefault="00F92B9F" w:rsidP="00F92B9F">
            <w:pPr>
              <w:rPr>
                <w:rFonts w:ascii="Aptos" w:hAnsi="Aptos"/>
                <w:color w:val="2F5496" w:themeColor="accent5" w:themeShade="BF"/>
                <w:sz w:val="24"/>
                <w:szCs w:val="24"/>
              </w:rPr>
            </w:pPr>
            <w:r w:rsidRPr="000A61E2">
              <w:rPr>
                <w:rFonts w:ascii="Aptos" w:hAnsi="Aptos"/>
                <w:b/>
                <w:bCs/>
                <w:color w:val="2F5496" w:themeColor="accent5" w:themeShade="BF"/>
                <w:sz w:val="24"/>
                <w:szCs w:val="24"/>
              </w:rPr>
              <w:t>Quick checklist for providers</w:t>
            </w:r>
          </w:p>
          <w:p w14:paraId="68AA9296" w14:textId="7D854F80" w:rsidR="00F92B9F" w:rsidRPr="000A61E2" w:rsidRDefault="00914285" w:rsidP="00914285">
            <w:pPr>
              <w:pStyle w:val="ListParagraph"/>
              <w:numPr>
                <w:ilvl w:val="0"/>
                <w:numId w:val="7"/>
              </w:numPr>
              <w:tabs>
                <w:tab w:val="left" w:pos="1447"/>
              </w:tabs>
              <w:rPr>
                <w:rFonts w:ascii="Aptos" w:hAnsi="Aptos"/>
                <w:color w:val="2F5496" w:themeColor="accent5" w:themeShade="BF"/>
                <w:sz w:val="24"/>
                <w:szCs w:val="24"/>
              </w:rPr>
            </w:pPr>
            <w:r w:rsidRPr="000A61E2">
              <w:rPr>
                <w:rFonts w:ascii="Aptos" w:hAnsi="Aptos"/>
                <w:noProof/>
                <w:color w:val="2F5496" w:themeColor="accent5" w:themeShade="BF"/>
                <w:sz w:val="24"/>
                <w:szCs w:val="24"/>
                <w14:ligatures w14:val="standardContextual"/>
              </w:rPr>
              <w:drawing>
                <wp:anchor distT="0" distB="0" distL="114300" distR="114300" simplePos="0" relativeHeight="251663360" behindDoc="0" locked="0" layoutInCell="1" allowOverlap="1" wp14:anchorId="417C12DD" wp14:editId="14216402">
                  <wp:simplePos x="0" y="0"/>
                  <wp:positionH relativeFrom="column">
                    <wp:posOffset>33655</wp:posOffset>
                  </wp:positionH>
                  <wp:positionV relativeFrom="paragraph">
                    <wp:posOffset>118745</wp:posOffset>
                  </wp:positionV>
                  <wp:extent cx="581025" cy="723265"/>
                  <wp:effectExtent l="0" t="0" r="9525" b="635"/>
                  <wp:wrapSquare wrapText="bothSides"/>
                  <wp:docPr id="5569935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93586" name="Picture 14"/>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81025" cy="723265"/>
                          </a:xfrm>
                          <a:prstGeom prst="rect">
                            <a:avLst/>
                          </a:prstGeom>
                        </pic:spPr>
                      </pic:pic>
                    </a:graphicData>
                  </a:graphic>
                  <wp14:sizeRelH relativeFrom="margin">
                    <wp14:pctWidth>0</wp14:pctWidth>
                  </wp14:sizeRelH>
                  <wp14:sizeRelV relativeFrom="margin">
                    <wp14:pctHeight>0</wp14:pctHeight>
                  </wp14:sizeRelV>
                </wp:anchor>
              </w:drawing>
            </w:r>
            <w:r w:rsidR="00F92B9F" w:rsidRPr="000A61E2">
              <w:rPr>
                <w:rFonts w:ascii="Aptos" w:hAnsi="Aptos"/>
                <w:color w:val="2F5496" w:themeColor="accent5" w:themeShade="BF"/>
                <w:sz w:val="24"/>
                <w:szCs w:val="24"/>
              </w:rPr>
              <w:t>Is the DVA client eligible for care funded by the Community Nursing Program?</w:t>
            </w:r>
          </w:p>
          <w:p w14:paraId="72C68451" w14:textId="61E5F1D5" w:rsidR="00F92B9F" w:rsidRPr="000A61E2" w:rsidRDefault="00F92B9F" w:rsidP="00914285">
            <w:pPr>
              <w:pStyle w:val="ListParagraph"/>
              <w:numPr>
                <w:ilvl w:val="0"/>
                <w:numId w:val="7"/>
              </w:numPr>
              <w:tabs>
                <w:tab w:val="left" w:pos="1447"/>
              </w:tabs>
              <w:rPr>
                <w:rFonts w:ascii="Aptos" w:hAnsi="Aptos"/>
                <w:color w:val="2F5496" w:themeColor="accent5" w:themeShade="BF"/>
                <w:sz w:val="24"/>
                <w:szCs w:val="24"/>
              </w:rPr>
            </w:pPr>
            <w:r w:rsidRPr="000A61E2">
              <w:rPr>
                <w:rFonts w:ascii="Aptos" w:hAnsi="Aptos"/>
                <w:color w:val="2F5496" w:themeColor="accent5" w:themeShade="BF"/>
                <w:sz w:val="24"/>
                <w:szCs w:val="24"/>
              </w:rPr>
              <w:t xml:space="preserve">Does the nursing or personal care service relate to an assessed clinical </w:t>
            </w:r>
            <w:r w:rsidR="00C14BE0" w:rsidRPr="000A61E2">
              <w:rPr>
                <w:rFonts w:ascii="Aptos" w:hAnsi="Aptos"/>
                <w:color w:val="2F5496" w:themeColor="accent5" w:themeShade="BF"/>
                <w:sz w:val="24"/>
                <w:szCs w:val="24"/>
              </w:rPr>
              <w:t xml:space="preserve">nursing </w:t>
            </w:r>
            <w:r w:rsidRPr="000A61E2">
              <w:rPr>
                <w:rFonts w:ascii="Aptos" w:hAnsi="Aptos"/>
                <w:color w:val="2F5496" w:themeColor="accent5" w:themeShade="BF"/>
                <w:sz w:val="24"/>
                <w:szCs w:val="24"/>
              </w:rPr>
              <w:t xml:space="preserve">need? </w:t>
            </w:r>
          </w:p>
          <w:p w14:paraId="44CF12FC" w14:textId="4B50C690" w:rsidR="00F92B9F" w:rsidRPr="000A61E2" w:rsidRDefault="00F92B9F" w:rsidP="00914285">
            <w:pPr>
              <w:pStyle w:val="ListParagraph"/>
              <w:numPr>
                <w:ilvl w:val="0"/>
                <w:numId w:val="7"/>
              </w:numPr>
              <w:tabs>
                <w:tab w:val="left" w:pos="1021"/>
                <w:tab w:val="left" w:pos="1447"/>
              </w:tabs>
              <w:rPr>
                <w:rFonts w:ascii="Aptos" w:hAnsi="Aptos"/>
                <w:color w:val="2F5496" w:themeColor="accent5" w:themeShade="BF"/>
                <w:sz w:val="24"/>
                <w:szCs w:val="24"/>
              </w:rPr>
            </w:pPr>
            <w:r w:rsidRPr="000A61E2">
              <w:rPr>
                <w:rFonts w:ascii="Aptos" w:hAnsi="Aptos"/>
                <w:color w:val="2F5496" w:themeColor="accent5" w:themeShade="BF"/>
                <w:sz w:val="24"/>
                <w:szCs w:val="24"/>
              </w:rPr>
              <w:t>Is the service within the scope of the Community Nursing Program?</w:t>
            </w:r>
          </w:p>
          <w:p w14:paraId="57181541" w14:textId="0EB4F13D" w:rsidR="00F92B9F" w:rsidRPr="000A61E2" w:rsidRDefault="00F92B9F" w:rsidP="00914285">
            <w:pPr>
              <w:pStyle w:val="ListParagraph"/>
              <w:numPr>
                <w:ilvl w:val="0"/>
                <w:numId w:val="7"/>
              </w:numPr>
              <w:tabs>
                <w:tab w:val="left" w:pos="1447"/>
              </w:tabs>
              <w:rPr>
                <w:rFonts w:ascii="Aptos" w:hAnsi="Aptos"/>
                <w:color w:val="2F5496" w:themeColor="accent5" w:themeShade="BF"/>
                <w:sz w:val="24"/>
                <w:szCs w:val="24"/>
              </w:rPr>
            </w:pPr>
            <w:r w:rsidRPr="000A61E2">
              <w:rPr>
                <w:rFonts w:ascii="Aptos" w:hAnsi="Aptos"/>
                <w:color w:val="2F5496" w:themeColor="accent5" w:themeShade="BF"/>
                <w:sz w:val="24"/>
                <w:szCs w:val="24"/>
              </w:rPr>
              <w:t>Was the care claimed for provided to the client?</w:t>
            </w:r>
          </w:p>
          <w:p w14:paraId="2F8324AD" w14:textId="4D24D2F7" w:rsidR="005B0F5E" w:rsidRPr="000A61E2" w:rsidRDefault="00F92B9F" w:rsidP="00914285">
            <w:pPr>
              <w:pStyle w:val="ListParagraph"/>
              <w:numPr>
                <w:ilvl w:val="0"/>
                <w:numId w:val="7"/>
              </w:numPr>
              <w:tabs>
                <w:tab w:val="left" w:pos="1447"/>
              </w:tabs>
              <w:rPr>
                <w:rFonts w:ascii="Aptos" w:hAnsi="Aptos"/>
                <w:color w:val="2F5496" w:themeColor="accent5" w:themeShade="BF"/>
                <w:sz w:val="24"/>
                <w:szCs w:val="24"/>
              </w:rPr>
            </w:pPr>
            <w:r w:rsidRPr="000A61E2">
              <w:rPr>
                <w:rFonts w:ascii="Aptos" w:hAnsi="Aptos"/>
                <w:color w:val="2F5496" w:themeColor="accent5" w:themeShade="BF"/>
                <w:sz w:val="24"/>
                <w:szCs w:val="24"/>
              </w:rPr>
              <w:t>Is the documentation clear, concise and complete?</w:t>
            </w:r>
          </w:p>
          <w:p w14:paraId="313E50E0" w14:textId="77777777" w:rsidR="005B0F5E" w:rsidRPr="000A61E2" w:rsidRDefault="005B0F5E" w:rsidP="005B0F5E">
            <w:pPr>
              <w:rPr>
                <w:rFonts w:ascii="Aptos" w:hAnsi="Aptos" w:cs="Arial"/>
                <w:color w:val="2F5496" w:themeColor="accent5" w:themeShade="BF"/>
                <w:sz w:val="24"/>
                <w:szCs w:val="24"/>
              </w:rPr>
            </w:pPr>
          </w:p>
          <w:p w14:paraId="325EF86F" w14:textId="52AAE70A" w:rsidR="0058577D" w:rsidRPr="000A61E2" w:rsidRDefault="0058577D" w:rsidP="0058577D">
            <w:pPr>
              <w:rPr>
                <w:rFonts w:ascii="Aptos" w:hAnsi="Aptos"/>
                <w:b/>
                <w:bCs/>
                <w:color w:val="2F5496" w:themeColor="accent5" w:themeShade="BF"/>
                <w:sz w:val="24"/>
                <w:szCs w:val="24"/>
              </w:rPr>
            </w:pPr>
            <w:r w:rsidRPr="000A61E2">
              <w:rPr>
                <w:rFonts w:ascii="Aptos" w:hAnsi="Aptos"/>
                <w:b/>
                <w:bCs/>
                <w:color w:val="2F5496" w:themeColor="accent5" w:themeShade="BF"/>
                <w:sz w:val="24"/>
                <w:szCs w:val="24"/>
              </w:rPr>
              <w:t xml:space="preserve">Enquiries about the Community Nursing Program </w:t>
            </w:r>
          </w:p>
          <w:p w14:paraId="54C0C728" w14:textId="6BA64EAD" w:rsidR="0079527A" w:rsidRPr="000A61E2" w:rsidRDefault="0058577D" w:rsidP="001A22A2">
            <w:pPr>
              <w:rPr>
                <w:rFonts w:ascii="Aptos" w:hAnsi="Aptos"/>
                <w:sz w:val="24"/>
                <w:szCs w:val="24"/>
              </w:rPr>
            </w:pPr>
            <w:r w:rsidRPr="000A61E2">
              <w:rPr>
                <w:rFonts w:ascii="Aptos" w:hAnsi="Aptos"/>
                <w:color w:val="2F5496" w:themeColor="accent5" w:themeShade="BF"/>
                <w:sz w:val="24"/>
                <w:szCs w:val="24"/>
              </w:rPr>
              <w:t xml:space="preserve">Providers are encouraged to review the Notes </w:t>
            </w:r>
            <w:r w:rsidR="001320A0" w:rsidRPr="000A61E2">
              <w:rPr>
                <w:rFonts w:ascii="Aptos" w:hAnsi="Aptos"/>
                <w:color w:val="2F5496" w:themeColor="accent5" w:themeShade="BF"/>
                <w:sz w:val="24"/>
                <w:szCs w:val="24"/>
              </w:rPr>
              <w:t xml:space="preserve">and </w:t>
            </w:r>
            <w:r w:rsidR="00C87A15" w:rsidRPr="000A61E2">
              <w:rPr>
                <w:rFonts w:ascii="Aptos" w:hAnsi="Aptos"/>
                <w:color w:val="2F5496" w:themeColor="accent5" w:themeShade="BF"/>
                <w:sz w:val="24"/>
                <w:szCs w:val="24"/>
              </w:rPr>
              <w:t xml:space="preserve">program </w:t>
            </w:r>
            <w:r w:rsidR="001320A0" w:rsidRPr="000A61E2">
              <w:rPr>
                <w:rFonts w:ascii="Aptos" w:hAnsi="Aptos"/>
                <w:color w:val="2F5496" w:themeColor="accent5" w:themeShade="BF"/>
                <w:sz w:val="24"/>
                <w:szCs w:val="24"/>
              </w:rPr>
              <w:t xml:space="preserve">information on the DVA website </w:t>
            </w:r>
            <w:r w:rsidRPr="000A61E2">
              <w:rPr>
                <w:rFonts w:ascii="Aptos" w:hAnsi="Aptos"/>
                <w:color w:val="2F5496" w:themeColor="accent5" w:themeShade="BF"/>
                <w:sz w:val="24"/>
                <w:szCs w:val="24"/>
              </w:rPr>
              <w:t xml:space="preserve">in the first instance and reach out with any enquiries about the Community Nursing Program via email to </w:t>
            </w:r>
            <w:hyperlink r:id="rId15" w:history="1">
              <w:r w:rsidRPr="000A61E2">
                <w:rPr>
                  <w:rStyle w:val="Hyperlink"/>
                  <w:rFonts w:ascii="Aptos" w:hAnsi="Aptos"/>
                  <w:sz w:val="24"/>
                  <w:szCs w:val="24"/>
                </w:rPr>
                <w:t>nursing@dva.gov.au</w:t>
              </w:r>
            </w:hyperlink>
            <w:r w:rsidRPr="000A61E2">
              <w:rPr>
                <w:rFonts w:ascii="Aptos" w:hAnsi="Aptos"/>
                <w:color w:val="2F5496" w:themeColor="accent5" w:themeShade="BF"/>
                <w:sz w:val="24"/>
                <w:szCs w:val="24"/>
              </w:rPr>
              <w:t>.  Providers are encouraged to be proactive and contact DVA with any claiming queries to alleviate incorrect claiming</w:t>
            </w:r>
            <w:r w:rsidR="00BA40FC" w:rsidRPr="000A61E2">
              <w:rPr>
                <w:rFonts w:ascii="Aptos" w:hAnsi="Aptos"/>
                <w:sz w:val="24"/>
                <w:szCs w:val="24"/>
              </w:rPr>
              <w:t>.</w:t>
            </w:r>
          </w:p>
          <w:p w14:paraId="1970836C" w14:textId="77777777" w:rsidR="006413CD" w:rsidRPr="000A61E2" w:rsidRDefault="006413CD" w:rsidP="001A22A2">
            <w:pPr>
              <w:rPr>
                <w:rFonts w:ascii="Aptos" w:hAnsi="Aptos"/>
                <w:color w:val="2F5496" w:themeColor="accent5" w:themeShade="BF"/>
                <w:sz w:val="24"/>
                <w:szCs w:val="24"/>
              </w:rPr>
            </w:pPr>
          </w:p>
          <w:p w14:paraId="4305B23B" w14:textId="016E44ED" w:rsidR="00C85C6B" w:rsidRPr="000A61E2" w:rsidRDefault="00C85C6B" w:rsidP="00C85C6B">
            <w:pPr>
              <w:rPr>
                <w:rFonts w:ascii="Aptos" w:hAnsi="Aptos"/>
                <w:color w:val="2F5496" w:themeColor="accent5" w:themeShade="BF"/>
                <w:sz w:val="24"/>
                <w:szCs w:val="24"/>
              </w:rPr>
            </w:pPr>
            <w:r w:rsidRPr="000A61E2">
              <w:rPr>
                <w:rFonts w:ascii="Aptos" w:hAnsi="Aptos"/>
                <w:b/>
                <w:bCs/>
                <w:color w:val="2F5496" w:themeColor="accent5" w:themeShade="BF"/>
                <w:sz w:val="24"/>
                <w:szCs w:val="24"/>
              </w:rPr>
              <w:t>Education sessions</w:t>
            </w:r>
          </w:p>
          <w:p w14:paraId="4C9364DD" w14:textId="7691C54E" w:rsidR="00C85C6B" w:rsidRPr="000A61E2" w:rsidRDefault="00C85C6B" w:rsidP="00C85C6B">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DVA offers education sessions </w:t>
            </w:r>
            <w:r w:rsidR="00F46D0B" w:rsidRPr="000A61E2">
              <w:rPr>
                <w:rFonts w:ascii="Aptos" w:hAnsi="Aptos"/>
                <w:color w:val="2F5496" w:themeColor="accent5" w:themeShade="BF"/>
                <w:sz w:val="24"/>
                <w:szCs w:val="24"/>
              </w:rPr>
              <w:t>about</w:t>
            </w:r>
            <w:r w:rsidR="003D104D" w:rsidRPr="000A61E2">
              <w:rPr>
                <w:rFonts w:ascii="Aptos" w:hAnsi="Aptos"/>
                <w:color w:val="2F5496" w:themeColor="accent5" w:themeShade="BF"/>
                <w:sz w:val="24"/>
                <w:szCs w:val="24"/>
              </w:rPr>
              <w:t xml:space="preserve"> the Community Nursing Program </w:t>
            </w:r>
            <w:r w:rsidRPr="000A61E2">
              <w:rPr>
                <w:rFonts w:ascii="Aptos" w:hAnsi="Aptos"/>
                <w:color w:val="2F5496" w:themeColor="accent5" w:themeShade="BF"/>
                <w:sz w:val="24"/>
                <w:szCs w:val="24"/>
              </w:rPr>
              <w:t xml:space="preserve">for </w:t>
            </w:r>
            <w:r w:rsidR="003D104D" w:rsidRPr="000A61E2">
              <w:rPr>
                <w:rFonts w:ascii="Aptos" w:hAnsi="Aptos"/>
                <w:color w:val="2F5496" w:themeColor="accent5" w:themeShade="BF"/>
                <w:sz w:val="24"/>
                <w:szCs w:val="24"/>
              </w:rPr>
              <w:t xml:space="preserve">DVA </w:t>
            </w:r>
            <w:r w:rsidRPr="000A61E2">
              <w:rPr>
                <w:rFonts w:ascii="Aptos" w:hAnsi="Aptos"/>
                <w:color w:val="2F5496" w:themeColor="accent5" w:themeShade="BF"/>
                <w:sz w:val="24"/>
                <w:szCs w:val="24"/>
              </w:rPr>
              <w:t xml:space="preserve">contracted Community Nursing providers.  To register your interest please email </w:t>
            </w:r>
            <w:hyperlink r:id="rId16" w:history="1">
              <w:r w:rsidRPr="000A61E2">
                <w:rPr>
                  <w:rStyle w:val="Hyperlink"/>
                  <w:rFonts w:ascii="Aptos" w:hAnsi="Aptos"/>
                  <w:sz w:val="24"/>
                  <w:szCs w:val="24"/>
                </w:rPr>
                <w:t>Community Nursing Contracts</w:t>
              </w:r>
            </w:hyperlink>
            <w:r w:rsidRPr="000A61E2">
              <w:rPr>
                <w:rFonts w:ascii="Aptos" w:hAnsi="Aptos"/>
                <w:color w:val="2F5496" w:themeColor="accent5" w:themeShade="BF"/>
                <w:sz w:val="24"/>
                <w:szCs w:val="24"/>
              </w:rPr>
              <w:t>.</w:t>
            </w:r>
          </w:p>
          <w:p w14:paraId="4D914D8C" w14:textId="7E56E6D9" w:rsidR="00C85C6B" w:rsidRPr="000A61E2" w:rsidRDefault="00C85C6B" w:rsidP="00C85C6B">
            <w:pPr>
              <w:rPr>
                <w:rFonts w:ascii="Aptos" w:hAnsi="Aptos"/>
                <w:color w:val="2F5496" w:themeColor="accent5" w:themeShade="BF"/>
                <w:sz w:val="24"/>
                <w:szCs w:val="24"/>
              </w:rPr>
            </w:pPr>
            <w:r w:rsidRPr="000A61E2">
              <w:rPr>
                <w:rFonts w:ascii="Aptos" w:hAnsi="Aptos"/>
                <w:b/>
                <w:bCs/>
                <w:color w:val="2F5496" w:themeColor="accent5" w:themeShade="BF"/>
                <w:sz w:val="24"/>
                <w:szCs w:val="24"/>
              </w:rPr>
              <w:br/>
              <w:t>Overpayments</w:t>
            </w:r>
          </w:p>
          <w:p w14:paraId="5A58D6D7" w14:textId="48B05826" w:rsidR="00C85C6B" w:rsidRPr="000A61E2" w:rsidRDefault="00C85C6B" w:rsidP="00C85C6B">
            <w:pPr>
              <w:rPr>
                <w:rFonts w:ascii="Aptos" w:hAnsi="Aptos"/>
                <w:color w:val="2F5496" w:themeColor="accent5" w:themeShade="BF"/>
                <w:sz w:val="24"/>
                <w:szCs w:val="24"/>
              </w:rPr>
            </w:pPr>
            <w:r w:rsidRPr="000A61E2">
              <w:rPr>
                <w:rFonts w:ascii="Aptos" w:hAnsi="Aptos"/>
                <w:color w:val="2F5496" w:themeColor="accent5" w:themeShade="BF"/>
                <w:sz w:val="24"/>
                <w:szCs w:val="24"/>
              </w:rPr>
              <w:t>If providers identify incorrect claiming or overpayments</w:t>
            </w:r>
            <w:r w:rsidR="00F6717E" w:rsidRPr="000A61E2">
              <w:rPr>
                <w:rFonts w:ascii="Aptos" w:hAnsi="Aptos"/>
                <w:color w:val="2F5496" w:themeColor="accent5" w:themeShade="BF"/>
                <w:sz w:val="24"/>
                <w:szCs w:val="24"/>
              </w:rPr>
              <w:t xml:space="preserve"> for Community Nursing services</w:t>
            </w:r>
            <w:r w:rsidRPr="000A61E2">
              <w:rPr>
                <w:rFonts w:ascii="Aptos" w:hAnsi="Aptos"/>
                <w:color w:val="2F5496" w:themeColor="accent5" w:themeShade="BF"/>
                <w:sz w:val="24"/>
                <w:szCs w:val="24"/>
              </w:rPr>
              <w:t xml:space="preserve">, please contact the Community Nursing Program team via email to </w:t>
            </w:r>
            <w:hyperlink r:id="rId17" w:history="1">
              <w:r w:rsidR="00136D1D" w:rsidRPr="000A61E2">
                <w:rPr>
                  <w:rStyle w:val="Hyperlink"/>
                  <w:rFonts w:ascii="Aptos" w:hAnsi="Aptos"/>
                  <w:sz w:val="24"/>
                  <w:szCs w:val="24"/>
                </w:rPr>
                <w:t>nursing@dva.gov.au</w:t>
              </w:r>
            </w:hyperlink>
            <w:r w:rsidRPr="000A61E2">
              <w:rPr>
                <w:rFonts w:ascii="Aptos" w:hAnsi="Aptos"/>
                <w:color w:val="2F5496" w:themeColor="accent5" w:themeShade="BF"/>
                <w:sz w:val="24"/>
                <w:szCs w:val="24"/>
              </w:rPr>
              <w:t xml:space="preserve">.  </w:t>
            </w:r>
          </w:p>
          <w:p w14:paraId="1D36CDED" w14:textId="77777777" w:rsidR="00C85C6B" w:rsidRPr="000A61E2" w:rsidRDefault="00C85C6B" w:rsidP="00C85C6B">
            <w:pPr>
              <w:rPr>
                <w:rFonts w:ascii="Aptos" w:hAnsi="Aptos"/>
                <w:color w:val="2F5496" w:themeColor="accent5" w:themeShade="BF"/>
                <w:sz w:val="24"/>
                <w:szCs w:val="24"/>
              </w:rPr>
            </w:pPr>
          </w:p>
          <w:p w14:paraId="5A86AC14" w14:textId="325806CC" w:rsidR="00C85C6B" w:rsidRPr="000A61E2" w:rsidRDefault="00C85C6B" w:rsidP="00C85C6B">
            <w:pPr>
              <w:rPr>
                <w:rFonts w:ascii="Aptos" w:hAnsi="Aptos"/>
                <w:color w:val="2F5496" w:themeColor="accent5" w:themeShade="BF"/>
                <w:sz w:val="24"/>
                <w:szCs w:val="24"/>
              </w:rPr>
            </w:pPr>
            <w:r w:rsidRPr="000A61E2">
              <w:rPr>
                <w:rFonts w:ascii="Aptos" w:hAnsi="Aptos"/>
                <w:b/>
                <w:bCs/>
                <w:color w:val="2F5496" w:themeColor="accent5" w:themeShade="BF"/>
                <w:sz w:val="24"/>
                <w:szCs w:val="24"/>
              </w:rPr>
              <w:t>Repayment process</w:t>
            </w:r>
          </w:p>
          <w:p w14:paraId="7B8450D5" w14:textId="76097CA6" w:rsidR="00C85C6B" w:rsidRPr="000A61E2" w:rsidRDefault="00C85C6B" w:rsidP="00C85C6B">
            <w:pPr>
              <w:numPr>
                <w:ilvl w:val="0"/>
                <w:numId w:val="8"/>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To initiate the repayment process for </w:t>
            </w:r>
            <w:r w:rsidR="00637F1D" w:rsidRPr="000A61E2">
              <w:rPr>
                <w:rFonts w:ascii="Aptos" w:hAnsi="Aptos"/>
                <w:color w:val="2F5496" w:themeColor="accent5" w:themeShade="BF"/>
                <w:sz w:val="24"/>
                <w:szCs w:val="24"/>
              </w:rPr>
              <w:t>any</w:t>
            </w:r>
            <w:r w:rsidRPr="000A61E2">
              <w:rPr>
                <w:rFonts w:ascii="Aptos" w:hAnsi="Aptos"/>
                <w:color w:val="2F5496" w:themeColor="accent5" w:themeShade="BF"/>
                <w:sz w:val="24"/>
                <w:szCs w:val="24"/>
              </w:rPr>
              <w:t xml:space="preserve"> incorrect or ineligible claims resulting in overpayments, providers can notify Medicare by completing Services Australia’s </w:t>
            </w:r>
            <w:hyperlink r:id="rId18" w:history="1">
              <w:r w:rsidRPr="000A61E2">
                <w:rPr>
                  <w:rStyle w:val="Hyperlink"/>
                  <w:rFonts w:ascii="Aptos" w:hAnsi="Aptos"/>
                  <w:sz w:val="24"/>
                  <w:szCs w:val="24"/>
                </w:rPr>
                <w:t>Voluntary acknowledgement form (MO057)</w:t>
              </w:r>
            </w:hyperlink>
            <w:r w:rsidRPr="000A61E2">
              <w:rPr>
                <w:rFonts w:ascii="Aptos" w:hAnsi="Aptos"/>
                <w:color w:val="2F5496" w:themeColor="accent5" w:themeShade="BF"/>
                <w:sz w:val="24"/>
                <w:szCs w:val="24"/>
              </w:rPr>
              <w:t xml:space="preserve"> and submitting to </w:t>
            </w:r>
            <w:hyperlink r:id="rId19" w:history="1">
              <w:r w:rsidRPr="000A61E2">
                <w:rPr>
                  <w:rStyle w:val="Hyperlink"/>
                  <w:rFonts w:ascii="Aptos" w:hAnsi="Aptos"/>
                  <w:sz w:val="24"/>
                  <w:szCs w:val="24"/>
                </w:rPr>
                <w:t>veterans.processing@servicesaustralia.gov.au</w:t>
              </w:r>
            </w:hyperlink>
            <w:r w:rsidRPr="000A61E2">
              <w:rPr>
                <w:rFonts w:ascii="Aptos" w:hAnsi="Aptos"/>
                <w:color w:val="2F5496" w:themeColor="accent5" w:themeShade="BF"/>
                <w:sz w:val="24"/>
                <w:szCs w:val="24"/>
              </w:rPr>
              <w:t xml:space="preserve"> </w:t>
            </w:r>
          </w:p>
          <w:p w14:paraId="1E1DE5DB" w14:textId="77777777" w:rsidR="00C85C6B" w:rsidRPr="000A61E2" w:rsidRDefault="00C85C6B" w:rsidP="00C85C6B">
            <w:pPr>
              <w:numPr>
                <w:ilvl w:val="0"/>
                <w:numId w:val="8"/>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Following submission of the form, a Recovery Officer from Services Australia will make contact to provide details of how to make repayments.  Alternatively, DVA can initiate the recovery process with Services Australia. </w:t>
            </w:r>
          </w:p>
          <w:p w14:paraId="7C07BA60" w14:textId="77777777" w:rsidR="00C85C6B" w:rsidRPr="000A61E2" w:rsidRDefault="00C85C6B" w:rsidP="00C85C6B">
            <w:pPr>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Incorrect claims must be repaid in full prior to resubmission of any eligible claims. </w:t>
            </w:r>
          </w:p>
          <w:p w14:paraId="45812C44" w14:textId="77777777" w:rsidR="001D78EC" w:rsidRPr="000A61E2" w:rsidRDefault="001D78EC" w:rsidP="00C85C6B">
            <w:pPr>
              <w:rPr>
                <w:rFonts w:ascii="Aptos" w:hAnsi="Aptos"/>
                <w:color w:val="2F5496" w:themeColor="accent5" w:themeShade="BF"/>
                <w:sz w:val="24"/>
                <w:szCs w:val="24"/>
              </w:rPr>
            </w:pPr>
          </w:p>
          <w:p w14:paraId="4C00D9B3" w14:textId="6B6CBC50" w:rsidR="006413CD" w:rsidRPr="000A61E2" w:rsidRDefault="00C85C6B" w:rsidP="00C85C6B">
            <w:pPr>
              <w:rPr>
                <w:rFonts w:ascii="Aptos" w:hAnsi="Aptos"/>
                <w:sz w:val="24"/>
                <w:szCs w:val="24"/>
              </w:rPr>
            </w:pPr>
            <w:r w:rsidRPr="000A61E2">
              <w:rPr>
                <w:rFonts w:ascii="Aptos" w:hAnsi="Aptos"/>
                <w:color w:val="2F5496" w:themeColor="accent5" w:themeShade="BF"/>
                <w:sz w:val="24"/>
                <w:szCs w:val="24"/>
              </w:rPr>
              <w:t>For further information, refer to the Notes for Community Nursing Providers (</w:t>
            </w:r>
            <w:r w:rsidRPr="000A61E2">
              <w:rPr>
                <w:rFonts w:ascii="Aptos" w:hAnsi="Aptos"/>
                <w:i/>
                <w:iCs/>
                <w:color w:val="2F5496" w:themeColor="accent5" w:themeShade="BF"/>
                <w:sz w:val="24"/>
                <w:szCs w:val="24"/>
              </w:rPr>
              <w:t>sections 7.13 Incorrect payments, 7.14 Inappropriate claiming, 7.15 Recovery of overpayment)</w:t>
            </w:r>
            <w:r w:rsidRPr="000A61E2">
              <w:rPr>
                <w:rFonts w:ascii="Aptos" w:hAnsi="Aptos"/>
                <w:color w:val="2F5496" w:themeColor="accent5" w:themeShade="BF"/>
                <w:sz w:val="24"/>
                <w:szCs w:val="24"/>
              </w:rPr>
              <w:t xml:space="preserve">.  </w:t>
            </w:r>
          </w:p>
          <w:p w14:paraId="288D278A" w14:textId="2369CD0B" w:rsidR="00093437" w:rsidRPr="000A61E2" w:rsidRDefault="00093437" w:rsidP="001A22A2">
            <w:pPr>
              <w:rPr>
                <w:rFonts w:ascii="Aptos" w:hAnsi="Aptos"/>
                <w:sz w:val="24"/>
                <w:szCs w:val="24"/>
              </w:rPr>
            </w:pPr>
          </w:p>
        </w:tc>
      </w:tr>
      <w:tr w:rsidR="00D835C5" w:rsidRPr="000A61E2" w14:paraId="63A13B4A" w14:textId="77777777" w:rsidTr="005B19F4">
        <w:trPr>
          <w:trHeight w:val="2956"/>
        </w:trPr>
        <w:tc>
          <w:tcPr>
            <w:tcW w:w="11340" w:type="dxa"/>
            <w:tcBorders>
              <w:top w:val="nil"/>
              <w:bottom w:val="nil"/>
            </w:tcBorders>
            <w:shd w:val="clear" w:color="auto" w:fill="E2EFD9" w:themeFill="accent6" w:themeFillTint="33"/>
          </w:tcPr>
          <w:p w14:paraId="7A812F84" w14:textId="77777777" w:rsidR="00093437" w:rsidRPr="000A61E2" w:rsidRDefault="00F5243C" w:rsidP="00F5243C">
            <w:pPr>
              <w:rPr>
                <w:rFonts w:ascii="Aptos" w:hAnsi="Aptos" w:cs="Arial"/>
                <w:color w:val="002060"/>
                <w:sz w:val="36"/>
                <w:szCs w:val="36"/>
              </w:rPr>
            </w:pPr>
            <w:r w:rsidRPr="000A61E2">
              <w:rPr>
                <w:rFonts w:ascii="Aptos" w:hAnsi="Aptos" w:cs="Arial"/>
                <w:color w:val="002060"/>
                <w:sz w:val="36"/>
                <w:szCs w:val="36"/>
              </w:rPr>
              <w:lastRenderedPageBreak/>
              <w:t>Historical Leave Liabilities</w:t>
            </w:r>
          </w:p>
          <w:p w14:paraId="02126511" w14:textId="0A0E907E" w:rsidR="00093437" w:rsidRPr="000A61E2" w:rsidRDefault="00F5243C" w:rsidP="00F5243C">
            <w:pPr>
              <w:rPr>
                <w:rFonts w:ascii="Aptos" w:hAnsi="Aptos" w:cs="Arial"/>
                <w:color w:val="002060"/>
                <w:sz w:val="36"/>
                <w:szCs w:val="36"/>
              </w:rPr>
            </w:pPr>
            <w:r w:rsidRPr="000A61E2">
              <w:rPr>
                <w:rFonts w:ascii="Aptos" w:hAnsi="Aptos" w:cs="Arial"/>
                <w:color w:val="002060"/>
                <w:sz w:val="36"/>
                <w:szCs w:val="36"/>
              </w:rPr>
              <w:t>Fair Work Commission Aged Care Work</w:t>
            </w:r>
            <w:r w:rsidR="00093437" w:rsidRPr="000A61E2">
              <w:rPr>
                <w:rFonts w:ascii="Aptos" w:hAnsi="Aptos" w:cs="Arial"/>
                <w:color w:val="002060"/>
                <w:sz w:val="36"/>
                <w:szCs w:val="36"/>
              </w:rPr>
              <w:t xml:space="preserve"> </w:t>
            </w:r>
            <w:r w:rsidRPr="000A61E2">
              <w:rPr>
                <w:rFonts w:ascii="Aptos" w:hAnsi="Aptos" w:cs="Arial"/>
                <w:color w:val="002060"/>
                <w:sz w:val="36"/>
                <w:szCs w:val="36"/>
              </w:rPr>
              <w:t>Value Case</w:t>
            </w:r>
          </w:p>
          <w:p w14:paraId="76240F7B" w14:textId="77777777"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In September 2024, the Fair Work Commission (FWC) made a decision under Stage 3 of the Aged Care</w:t>
            </w:r>
          </w:p>
          <w:p w14:paraId="6B888A89" w14:textId="6B2BB2D4"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Work Value Case to further increase award wage</w:t>
            </w:r>
            <w:r w:rsidR="00BC43A8"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 xml:space="preserve"> for many aged care workers</w:t>
            </w:r>
            <w:r w:rsidR="00E147CC" w:rsidRPr="000A61E2">
              <w:rPr>
                <w:rFonts w:ascii="Aptos" w:hAnsi="Aptos"/>
                <w:color w:val="2F5496" w:themeColor="accent5" w:themeShade="BF"/>
                <w:sz w:val="24"/>
                <w:szCs w:val="24"/>
              </w:rPr>
              <w:t xml:space="preserve"> in t</w:t>
            </w:r>
            <w:r w:rsidR="00B4296F" w:rsidRPr="000A61E2">
              <w:rPr>
                <w:rFonts w:ascii="Aptos" w:hAnsi="Aptos"/>
                <w:color w:val="2F5496" w:themeColor="accent5" w:themeShade="BF"/>
                <w:sz w:val="24"/>
                <w:szCs w:val="24"/>
              </w:rPr>
              <w:t>wo</w:t>
            </w:r>
            <w:r w:rsidR="00E147CC" w:rsidRPr="000A61E2">
              <w:rPr>
                <w:rFonts w:ascii="Aptos" w:hAnsi="Aptos"/>
                <w:color w:val="2F5496" w:themeColor="accent5" w:themeShade="BF"/>
                <w:sz w:val="24"/>
                <w:szCs w:val="24"/>
              </w:rPr>
              <w:t xml:space="preserve"> stages</w:t>
            </w:r>
            <w:r w:rsidRPr="000A61E2">
              <w:rPr>
                <w:rFonts w:ascii="Aptos" w:hAnsi="Aptos"/>
                <w:color w:val="2F5496" w:themeColor="accent5" w:themeShade="BF"/>
                <w:sz w:val="24"/>
                <w:szCs w:val="24"/>
              </w:rPr>
              <w:t xml:space="preserve">. </w:t>
            </w:r>
            <w:r w:rsidR="009F777E" w:rsidRPr="000A61E2">
              <w:rPr>
                <w:rFonts w:ascii="Aptos" w:hAnsi="Aptos"/>
                <w:color w:val="2F5496" w:themeColor="accent5" w:themeShade="BF"/>
                <w:sz w:val="24"/>
                <w:szCs w:val="24"/>
              </w:rPr>
              <w:t xml:space="preserve">In December </w:t>
            </w:r>
            <w:r w:rsidR="002252BD" w:rsidRPr="000A61E2">
              <w:rPr>
                <w:rFonts w:ascii="Aptos" w:hAnsi="Aptos"/>
                <w:color w:val="2F5496" w:themeColor="accent5" w:themeShade="BF"/>
                <w:sz w:val="24"/>
                <w:szCs w:val="24"/>
              </w:rPr>
              <w:t xml:space="preserve">2024, the FWC made a decision </w:t>
            </w:r>
            <w:r w:rsidR="00BC43A8" w:rsidRPr="000A61E2">
              <w:rPr>
                <w:rFonts w:ascii="Aptos" w:hAnsi="Aptos"/>
                <w:color w:val="2F5496" w:themeColor="accent5" w:themeShade="BF"/>
                <w:sz w:val="24"/>
                <w:szCs w:val="24"/>
              </w:rPr>
              <w:t xml:space="preserve">to further increase award wages for </w:t>
            </w:r>
            <w:r w:rsidR="002252BD" w:rsidRPr="000A61E2">
              <w:rPr>
                <w:rFonts w:ascii="Aptos" w:hAnsi="Aptos"/>
                <w:color w:val="2F5496" w:themeColor="accent5" w:themeShade="BF"/>
                <w:sz w:val="24"/>
                <w:szCs w:val="24"/>
              </w:rPr>
              <w:t>aged care nurses</w:t>
            </w:r>
            <w:r w:rsidR="00581723" w:rsidRPr="000A61E2">
              <w:rPr>
                <w:rFonts w:ascii="Aptos" w:hAnsi="Aptos"/>
                <w:color w:val="2F5496" w:themeColor="accent5" w:themeShade="BF"/>
                <w:sz w:val="24"/>
                <w:szCs w:val="24"/>
              </w:rPr>
              <w:t xml:space="preserve"> in t</w:t>
            </w:r>
            <w:r w:rsidR="00CE16FD" w:rsidRPr="000A61E2">
              <w:rPr>
                <w:rFonts w:ascii="Aptos" w:hAnsi="Aptos"/>
                <w:color w:val="2F5496" w:themeColor="accent5" w:themeShade="BF"/>
                <w:sz w:val="24"/>
                <w:szCs w:val="24"/>
              </w:rPr>
              <w:t>hree</w:t>
            </w:r>
            <w:r w:rsidR="00581723" w:rsidRPr="000A61E2">
              <w:rPr>
                <w:rFonts w:ascii="Aptos" w:hAnsi="Aptos"/>
                <w:color w:val="2F5496" w:themeColor="accent5" w:themeShade="BF"/>
                <w:sz w:val="24"/>
                <w:szCs w:val="24"/>
              </w:rPr>
              <w:t xml:space="preserve"> stages</w:t>
            </w:r>
            <w:r w:rsidR="002252BD"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As part of the</w:t>
            </w:r>
            <w:r w:rsidR="002252BD"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Australian Government’s commitment to fund the increases following the FWC’s decision</w:t>
            </w:r>
            <w:r w:rsidR="008875D4"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 the</w:t>
            </w:r>
            <w:r w:rsidR="008875D4"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fees for personal care delivered under the Veterans’ Home Care (VHC) and Community Nursing programs</w:t>
            </w:r>
            <w:r w:rsidR="00581723" w:rsidRPr="000A61E2">
              <w:rPr>
                <w:rFonts w:ascii="Aptos" w:hAnsi="Aptos"/>
                <w:color w:val="2F5496" w:themeColor="accent5" w:themeShade="BF"/>
                <w:sz w:val="24"/>
                <w:szCs w:val="24"/>
              </w:rPr>
              <w:t xml:space="preserve"> increased from 1 October 2025</w:t>
            </w:r>
            <w:r w:rsidR="0084570C" w:rsidRPr="000A61E2">
              <w:rPr>
                <w:rFonts w:ascii="Aptos" w:hAnsi="Aptos"/>
                <w:color w:val="2F5496" w:themeColor="accent5" w:themeShade="BF"/>
                <w:sz w:val="24"/>
                <w:szCs w:val="24"/>
              </w:rPr>
              <w:t>. The fees for</w:t>
            </w:r>
            <w:r w:rsidR="008875D4" w:rsidRPr="000A61E2">
              <w:rPr>
                <w:rFonts w:ascii="Aptos" w:hAnsi="Aptos"/>
                <w:color w:val="2F5496" w:themeColor="accent5" w:themeShade="BF"/>
                <w:sz w:val="24"/>
                <w:szCs w:val="24"/>
              </w:rPr>
              <w:t xml:space="preserve"> nursing services delivered under the Community Nursing Program </w:t>
            </w:r>
            <w:r w:rsidRPr="000A61E2">
              <w:rPr>
                <w:rFonts w:ascii="Aptos" w:hAnsi="Aptos"/>
                <w:color w:val="2F5496" w:themeColor="accent5" w:themeShade="BF"/>
                <w:sz w:val="24"/>
                <w:szCs w:val="24"/>
              </w:rPr>
              <w:t xml:space="preserve">increased from </w:t>
            </w:r>
            <w:r w:rsidR="001F350F" w:rsidRPr="000A61E2">
              <w:rPr>
                <w:rFonts w:ascii="Aptos" w:hAnsi="Aptos"/>
                <w:color w:val="2F5496" w:themeColor="accent5" w:themeShade="BF"/>
                <w:sz w:val="24"/>
                <w:szCs w:val="24"/>
              </w:rPr>
              <w:t xml:space="preserve">1 March 2025 and </w:t>
            </w:r>
            <w:r w:rsidRPr="000A61E2">
              <w:rPr>
                <w:rFonts w:ascii="Aptos" w:hAnsi="Aptos"/>
                <w:color w:val="2F5496" w:themeColor="accent5" w:themeShade="BF"/>
                <w:sz w:val="24"/>
                <w:szCs w:val="24"/>
              </w:rPr>
              <w:t xml:space="preserve">1 </w:t>
            </w:r>
            <w:r w:rsidR="008875D4" w:rsidRPr="000A61E2">
              <w:rPr>
                <w:rFonts w:ascii="Aptos" w:hAnsi="Aptos"/>
                <w:color w:val="2F5496" w:themeColor="accent5" w:themeShade="BF"/>
                <w:sz w:val="24"/>
                <w:szCs w:val="24"/>
              </w:rPr>
              <w:t>October</w:t>
            </w:r>
            <w:r w:rsidRPr="000A61E2">
              <w:rPr>
                <w:rFonts w:ascii="Aptos" w:hAnsi="Aptos"/>
                <w:color w:val="2F5496" w:themeColor="accent5" w:themeShade="BF"/>
                <w:sz w:val="24"/>
                <w:szCs w:val="24"/>
              </w:rPr>
              <w:t xml:space="preserve"> 2025.</w:t>
            </w:r>
          </w:p>
          <w:p w14:paraId="6B976D32" w14:textId="77777777" w:rsidR="00143B01" w:rsidRPr="000A61E2" w:rsidRDefault="00143B01" w:rsidP="00F5243C">
            <w:pPr>
              <w:rPr>
                <w:rFonts w:ascii="Aptos" w:hAnsi="Aptos"/>
                <w:color w:val="2F5496" w:themeColor="accent5" w:themeShade="BF"/>
                <w:sz w:val="24"/>
                <w:szCs w:val="24"/>
              </w:rPr>
            </w:pPr>
          </w:p>
          <w:p w14:paraId="268FB4C6" w14:textId="4E02F590"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In addition, funding has been made available for providers of Department of Veterans’ Affairs</w:t>
            </w:r>
            <w:r w:rsidR="00B21C17"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(DVA) VHC and Community Nursing services to fund historical leave liabilities for in scope employees as a</w:t>
            </w:r>
            <w:r w:rsidR="00B21C17"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result of the FWC’s decision</w:t>
            </w:r>
            <w:r w:rsidR="00B21C17"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w:t>
            </w:r>
          </w:p>
          <w:p w14:paraId="0F939D0A" w14:textId="77777777" w:rsidR="00143B01" w:rsidRPr="000A61E2" w:rsidRDefault="00143B01" w:rsidP="00F5243C">
            <w:pPr>
              <w:rPr>
                <w:rFonts w:ascii="Aptos" w:hAnsi="Aptos"/>
                <w:color w:val="2F5496" w:themeColor="accent5" w:themeShade="BF"/>
                <w:sz w:val="24"/>
                <w:szCs w:val="24"/>
              </w:rPr>
            </w:pPr>
          </w:p>
          <w:p w14:paraId="7216D0D1" w14:textId="77777777" w:rsidR="00F5243C" w:rsidRPr="000A61E2" w:rsidRDefault="00F5243C" w:rsidP="00F5243C">
            <w:pPr>
              <w:rPr>
                <w:rFonts w:ascii="Aptos" w:hAnsi="Aptos"/>
                <w:b/>
                <w:bCs/>
                <w:i/>
                <w:iCs/>
                <w:color w:val="2F5496" w:themeColor="accent5" w:themeShade="BF"/>
                <w:sz w:val="24"/>
                <w:szCs w:val="24"/>
              </w:rPr>
            </w:pPr>
            <w:r w:rsidRPr="000A61E2">
              <w:rPr>
                <w:rFonts w:ascii="Aptos" w:hAnsi="Aptos"/>
                <w:b/>
                <w:bCs/>
                <w:i/>
                <w:iCs/>
                <w:color w:val="2F5496" w:themeColor="accent5" w:themeShade="BF"/>
                <w:sz w:val="24"/>
                <w:szCs w:val="24"/>
              </w:rPr>
              <w:t>About the funding</w:t>
            </w:r>
          </w:p>
          <w:p w14:paraId="7055C74D" w14:textId="77777777"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You can apply for historical leave liability funding from DVA directly if you:</w:t>
            </w:r>
          </w:p>
          <w:p w14:paraId="0B4A4338" w14:textId="77777777" w:rsidR="00B21C17" w:rsidRPr="000A61E2" w:rsidRDefault="00F5243C" w:rsidP="00F5243C">
            <w:pPr>
              <w:pStyle w:val="ListParagraph"/>
              <w:numPr>
                <w:ilvl w:val="0"/>
                <w:numId w:val="9"/>
              </w:numPr>
              <w:rPr>
                <w:rFonts w:ascii="Aptos" w:hAnsi="Aptos"/>
                <w:color w:val="2F5496" w:themeColor="accent5" w:themeShade="BF"/>
                <w:sz w:val="24"/>
                <w:szCs w:val="24"/>
              </w:rPr>
            </w:pPr>
            <w:r w:rsidRPr="000A61E2">
              <w:rPr>
                <w:rFonts w:ascii="Aptos" w:hAnsi="Aptos"/>
                <w:b/>
                <w:bCs/>
                <w:color w:val="2F5496" w:themeColor="accent5" w:themeShade="BF"/>
                <w:sz w:val="24"/>
                <w:szCs w:val="24"/>
              </w:rPr>
              <w:t>are a DVA-only provider</w:t>
            </w:r>
            <w:r w:rsidRPr="000A61E2">
              <w:rPr>
                <w:rFonts w:ascii="Aptos" w:hAnsi="Aptos"/>
                <w:color w:val="2F5496" w:themeColor="accent5" w:themeShade="BF"/>
                <w:sz w:val="24"/>
                <w:szCs w:val="24"/>
              </w:rPr>
              <w:t xml:space="preserve"> of Community Nursing and/or VHC services</w:t>
            </w:r>
          </w:p>
          <w:p w14:paraId="15E3CBB9" w14:textId="447B442C" w:rsidR="00B21C17" w:rsidRPr="000A61E2" w:rsidRDefault="00F5243C" w:rsidP="00F5243C">
            <w:pPr>
              <w:pStyle w:val="ListParagraph"/>
              <w:numPr>
                <w:ilvl w:val="0"/>
                <w:numId w:val="9"/>
              </w:numPr>
              <w:rPr>
                <w:rFonts w:ascii="Aptos" w:hAnsi="Aptos"/>
                <w:color w:val="2F5496" w:themeColor="accent5" w:themeShade="BF"/>
                <w:sz w:val="24"/>
                <w:szCs w:val="24"/>
              </w:rPr>
            </w:pPr>
            <w:r w:rsidRPr="000A61E2">
              <w:rPr>
                <w:rFonts w:ascii="Aptos" w:hAnsi="Aptos"/>
                <w:b/>
                <w:bCs/>
                <w:color w:val="2F5496" w:themeColor="accent5" w:themeShade="BF"/>
                <w:sz w:val="24"/>
                <w:szCs w:val="24"/>
              </w:rPr>
              <w:t>are not an aged care provider</w:t>
            </w:r>
            <w:r w:rsidRPr="000A61E2">
              <w:rPr>
                <w:rFonts w:ascii="Aptos" w:hAnsi="Aptos"/>
                <w:color w:val="2F5496" w:themeColor="accent5" w:themeShade="BF"/>
                <w:sz w:val="24"/>
                <w:szCs w:val="24"/>
              </w:rPr>
              <w:t xml:space="preserve"> (i.e. you are not registered to provide aged care programs including</w:t>
            </w:r>
            <w:r w:rsidR="00BD0058"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Residential Aged Care, Home Care Packages Program, Commonwealth Home Support Programme</w:t>
            </w:r>
            <w:r w:rsidR="00BD0058"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etc.) AND</w:t>
            </w:r>
          </w:p>
          <w:p w14:paraId="4D48209F" w14:textId="2FBD0682" w:rsidR="00F5243C" w:rsidRPr="000A61E2" w:rsidRDefault="00F5243C" w:rsidP="00BD0058">
            <w:pPr>
              <w:pStyle w:val="ListParagraph"/>
              <w:numPr>
                <w:ilvl w:val="0"/>
                <w:numId w:val="9"/>
              </w:numPr>
              <w:rPr>
                <w:rFonts w:ascii="Aptos" w:hAnsi="Aptos"/>
                <w:color w:val="2F5496" w:themeColor="accent5" w:themeShade="BF"/>
                <w:sz w:val="24"/>
                <w:szCs w:val="24"/>
              </w:rPr>
            </w:pPr>
            <w:r w:rsidRPr="000A61E2">
              <w:rPr>
                <w:rFonts w:ascii="Aptos" w:hAnsi="Aptos"/>
                <w:b/>
                <w:bCs/>
                <w:color w:val="2F5496" w:themeColor="accent5" w:themeShade="BF"/>
                <w:sz w:val="24"/>
                <w:szCs w:val="24"/>
              </w:rPr>
              <w:t>you have employee/s impacted</w:t>
            </w:r>
            <w:r w:rsidRPr="000A61E2">
              <w:rPr>
                <w:rFonts w:ascii="Aptos" w:hAnsi="Aptos"/>
                <w:color w:val="2F5496" w:themeColor="accent5" w:themeShade="BF"/>
                <w:sz w:val="24"/>
                <w:szCs w:val="24"/>
              </w:rPr>
              <w:t xml:space="preserve"> by the FWC’s decision</w:t>
            </w:r>
            <w:r w:rsidR="00BD0058"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w:t>
            </w:r>
          </w:p>
          <w:p w14:paraId="66F6492C" w14:textId="77777777" w:rsidR="00143B01" w:rsidRPr="000A61E2" w:rsidRDefault="00143B01" w:rsidP="00F5243C">
            <w:pPr>
              <w:rPr>
                <w:rFonts w:ascii="Aptos" w:hAnsi="Aptos"/>
                <w:color w:val="2F5496" w:themeColor="accent5" w:themeShade="BF"/>
                <w:sz w:val="24"/>
                <w:szCs w:val="24"/>
              </w:rPr>
            </w:pPr>
          </w:p>
          <w:p w14:paraId="63185099" w14:textId="2CFC5283"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This funding opportunity is to fund providers for 50 percent of the cost associated with paying higher leave</w:t>
            </w:r>
          </w:p>
          <w:p w14:paraId="17C75A31" w14:textId="313CF2E1" w:rsidR="00222E16"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entitlements for </w:t>
            </w:r>
            <w:r w:rsidR="00BD0058" w:rsidRPr="000A61E2">
              <w:rPr>
                <w:rFonts w:ascii="Aptos" w:hAnsi="Aptos"/>
                <w:color w:val="2F5496" w:themeColor="accent5" w:themeShade="BF"/>
                <w:sz w:val="24"/>
                <w:szCs w:val="24"/>
              </w:rPr>
              <w:t>in scope</w:t>
            </w:r>
            <w:r w:rsidRPr="000A61E2">
              <w:rPr>
                <w:rFonts w:ascii="Aptos" w:hAnsi="Aptos"/>
                <w:color w:val="2F5496" w:themeColor="accent5" w:themeShade="BF"/>
                <w:sz w:val="24"/>
                <w:szCs w:val="24"/>
              </w:rPr>
              <w:t xml:space="preserve"> workers that have had their wages increased from </w:t>
            </w:r>
            <w:r w:rsidR="0084570C" w:rsidRPr="000A61E2">
              <w:rPr>
                <w:rFonts w:ascii="Aptos" w:hAnsi="Aptos"/>
                <w:color w:val="2F5496" w:themeColor="accent5" w:themeShade="BF"/>
                <w:sz w:val="24"/>
                <w:szCs w:val="24"/>
              </w:rPr>
              <w:t>1 March 2025 and</w:t>
            </w:r>
            <w:r w:rsidR="00AE7E1F" w:rsidRPr="000A61E2">
              <w:rPr>
                <w:rFonts w:ascii="Aptos" w:hAnsi="Aptos"/>
                <w:color w:val="2F5496" w:themeColor="accent5" w:themeShade="BF"/>
                <w:sz w:val="24"/>
                <w:szCs w:val="24"/>
              </w:rPr>
              <w:t>/or</w:t>
            </w:r>
            <w:r w:rsidR="0084570C" w:rsidRPr="000A61E2">
              <w:rPr>
                <w:rFonts w:ascii="Aptos" w:hAnsi="Aptos"/>
                <w:color w:val="2F5496" w:themeColor="accent5" w:themeShade="BF"/>
                <w:sz w:val="24"/>
                <w:szCs w:val="24"/>
              </w:rPr>
              <w:t xml:space="preserve"> </w:t>
            </w:r>
            <w:r w:rsidR="00E34397"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 xml:space="preserve">1 </w:t>
            </w:r>
            <w:r w:rsidR="00BD0058" w:rsidRPr="000A61E2">
              <w:rPr>
                <w:rFonts w:ascii="Aptos" w:hAnsi="Aptos"/>
                <w:color w:val="2F5496" w:themeColor="accent5" w:themeShade="BF"/>
                <w:sz w:val="24"/>
                <w:szCs w:val="24"/>
              </w:rPr>
              <w:t>October</w:t>
            </w:r>
            <w:r w:rsidRPr="000A61E2">
              <w:rPr>
                <w:rFonts w:ascii="Aptos" w:hAnsi="Aptos"/>
                <w:color w:val="2F5496" w:themeColor="accent5" w:themeShade="BF"/>
                <w:sz w:val="24"/>
                <w:szCs w:val="24"/>
              </w:rPr>
              <w:t xml:space="preserve"> 2025 as a result of</w:t>
            </w:r>
            <w:r w:rsidR="0084570C"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the FWC’s decision</w:t>
            </w:r>
            <w:r w:rsidR="00BD0058" w:rsidRPr="000A61E2">
              <w:rPr>
                <w:rFonts w:ascii="Aptos" w:hAnsi="Aptos"/>
                <w:color w:val="2F5496" w:themeColor="accent5" w:themeShade="BF"/>
                <w:sz w:val="24"/>
                <w:szCs w:val="24"/>
              </w:rPr>
              <w:t>s</w:t>
            </w:r>
            <w:r w:rsidRPr="000A61E2">
              <w:rPr>
                <w:rFonts w:ascii="Aptos" w:hAnsi="Aptos"/>
                <w:color w:val="2F5496" w:themeColor="accent5" w:themeShade="BF"/>
                <w:sz w:val="24"/>
                <w:szCs w:val="24"/>
              </w:rPr>
              <w:t>. Funding can only be claimed to ‘top up’ relevant leave entitlements that are directly</w:t>
            </w:r>
            <w:r w:rsidR="0084570C"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attributable to</w:t>
            </w:r>
            <w:r w:rsidR="00222E16" w:rsidRPr="000A61E2">
              <w:rPr>
                <w:rFonts w:ascii="Aptos" w:hAnsi="Aptos"/>
                <w:color w:val="2F5496" w:themeColor="accent5" w:themeShade="BF"/>
                <w:sz w:val="24"/>
                <w:szCs w:val="24"/>
              </w:rPr>
              <w:t>:</w:t>
            </w:r>
          </w:p>
          <w:p w14:paraId="5F59C99B" w14:textId="77777777" w:rsidR="00F14402" w:rsidRPr="000A61E2" w:rsidRDefault="00F14402" w:rsidP="00F5243C">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the FWC’s Aged Care Nurses decision increase for nurses (March 2025) of a 2.270 percent wage increase. This includes payment of leave entitlements when an employee resigns</w:t>
            </w:r>
          </w:p>
          <w:p w14:paraId="47C6462F" w14:textId="315FEC6C" w:rsidR="00F5243C" w:rsidRPr="000A61E2" w:rsidRDefault="00F14402" w:rsidP="00F5243C">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the FWC’s Aged Care Nurses decision increase for nurses (October 2025) of a 1.812 percent wage increase. This includes payment of leave entitlements when an employee resigns</w:t>
            </w:r>
          </w:p>
          <w:p w14:paraId="0466C27D" w14:textId="47FDA933" w:rsidR="00136D1D" w:rsidRPr="000A61E2" w:rsidRDefault="00136D1D" w:rsidP="00136D1D">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the FWC’s Stage 3 decision increase for personal care workers (October 2025) of a 0.696 percent wage increase. This includes payment of leave entitlements when an employee resigns.</w:t>
            </w:r>
          </w:p>
          <w:p w14:paraId="7B45F4C5" w14:textId="77777777" w:rsidR="00143B01" w:rsidRPr="000A61E2" w:rsidRDefault="00143B01" w:rsidP="00F5243C">
            <w:pPr>
              <w:rPr>
                <w:rFonts w:ascii="Aptos" w:hAnsi="Aptos"/>
                <w:color w:val="2F5496" w:themeColor="accent5" w:themeShade="BF"/>
                <w:sz w:val="24"/>
                <w:szCs w:val="24"/>
              </w:rPr>
            </w:pPr>
          </w:p>
          <w:p w14:paraId="3427BA65" w14:textId="320D5188"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This application process is only valid for increases as part of the FWC’s Aged Care Work Value Case</w:t>
            </w:r>
            <w:r w:rsidR="00BF40EB" w:rsidRPr="000A61E2">
              <w:rPr>
                <w:rFonts w:ascii="Aptos" w:hAnsi="Aptos"/>
                <w:color w:val="2F5496" w:themeColor="accent5" w:themeShade="BF"/>
                <w:sz w:val="24"/>
                <w:szCs w:val="24"/>
              </w:rPr>
              <w:t xml:space="preserve"> decisions</w:t>
            </w:r>
            <w:r w:rsidRPr="000A61E2">
              <w:rPr>
                <w:rFonts w:ascii="Aptos" w:hAnsi="Aptos"/>
                <w:color w:val="2F5496" w:themeColor="accent5" w:themeShade="BF"/>
                <w:sz w:val="24"/>
                <w:szCs w:val="24"/>
              </w:rPr>
              <w:t xml:space="preserve"> for in</w:t>
            </w:r>
            <w:r w:rsidR="00BF40EB"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scope personal care workers</w:t>
            </w:r>
            <w:r w:rsidR="00BF40EB" w:rsidRPr="000A61E2">
              <w:rPr>
                <w:rFonts w:ascii="Aptos" w:hAnsi="Aptos"/>
                <w:color w:val="2F5496" w:themeColor="accent5" w:themeShade="BF"/>
                <w:sz w:val="24"/>
                <w:szCs w:val="24"/>
              </w:rPr>
              <w:t xml:space="preserve"> and nurses</w:t>
            </w:r>
            <w:r w:rsidRPr="000A61E2">
              <w:rPr>
                <w:rFonts w:ascii="Aptos" w:hAnsi="Aptos"/>
                <w:color w:val="2F5496" w:themeColor="accent5" w:themeShade="BF"/>
                <w:sz w:val="24"/>
                <w:szCs w:val="24"/>
              </w:rPr>
              <w:t>.</w:t>
            </w:r>
          </w:p>
          <w:p w14:paraId="457C501A" w14:textId="77777777" w:rsidR="00143B01" w:rsidRPr="000A61E2" w:rsidRDefault="00143B01" w:rsidP="00F5243C">
            <w:pPr>
              <w:rPr>
                <w:rFonts w:ascii="Aptos" w:hAnsi="Aptos"/>
                <w:color w:val="2F5496" w:themeColor="accent5" w:themeShade="BF"/>
                <w:sz w:val="24"/>
                <w:szCs w:val="24"/>
              </w:rPr>
            </w:pPr>
          </w:p>
          <w:p w14:paraId="25207828" w14:textId="16FC8733"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Further information on the aged care wage increase can be found on the </w:t>
            </w:r>
            <w:hyperlink r:id="rId20" w:history="1">
              <w:r w:rsidRPr="000A61E2">
                <w:rPr>
                  <w:rStyle w:val="Hyperlink"/>
                  <w:rFonts w:ascii="Aptos" w:hAnsi="Aptos"/>
                  <w:sz w:val="24"/>
                  <w:szCs w:val="24"/>
                </w:rPr>
                <w:t>Department of Health</w:t>
              </w:r>
              <w:r w:rsidR="000D6ACA" w:rsidRPr="000A61E2">
                <w:rPr>
                  <w:rStyle w:val="Hyperlink"/>
                  <w:rFonts w:ascii="Aptos" w:hAnsi="Aptos"/>
                  <w:sz w:val="24"/>
                  <w:szCs w:val="24"/>
                </w:rPr>
                <w:t>, Disability</w:t>
              </w:r>
              <w:r w:rsidRPr="000A61E2">
                <w:rPr>
                  <w:rStyle w:val="Hyperlink"/>
                  <w:rFonts w:ascii="Aptos" w:hAnsi="Aptos"/>
                  <w:sz w:val="24"/>
                  <w:szCs w:val="24"/>
                </w:rPr>
                <w:t xml:space="preserve"> and Age</w:t>
              </w:r>
              <w:r w:rsidR="000D6ACA" w:rsidRPr="000A61E2">
                <w:rPr>
                  <w:rStyle w:val="Hyperlink"/>
                  <w:rFonts w:ascii="Aptos" w:hAnsi="Aptos"/>
                  <w:sz w:val="24"/>
                  <w:szCs w:val="24"/>
                </w:rPr>
                <w:t>ing</w:t>
              </w:r>
              <w:r w:rsidRPr="000A61E2">
                <w:rPr>
                  <w:rStyle w:val="Hyperlink"/>
                  <w:rFonts w:ascii="Aptos" w:hAnsi="Aptos"/>
                  <w:sz w:val="24"/>
                  <w:szCs w:val="24"/>
                </w:rPr>
                <w:t>’s website</w:t>
              </w:r>
            </w:hyperlink>
            <w:r w:rsidRPr="000A61E2">
              <w:rPr>
                <w:rFonts w:ascii="Aptos" w:hAnsi="Aptos"/>
                <w:color w:val="2F5496" w:themeColor="accent5" w:themeShade="BF"/>
                <w:sz w:val="24"/>
                <w:szCs w:val="24"/>
              </w:rPr>
              <w:t>.</w:t>
            </w:r>
          </w:p>
          <w:p w14:paraId="73098B7D" w14:textId="77777777" w:rsidR="00143B01" w:rsidRPr="000A61E2" w:rsidRDefault="00143B01" w:rsidP="00F5243C">
            <w:pPr>
              <w:rPr>
                <w:rFonts w:ascii="Aptos" w:hAnsi="Aptos"/>
                <w:b/>
                <w:bCs/>
                <w:i/>
                <w:iCs/>
                <w:color w:val="2F5496" w:themeColor="accent5" w:themeShade="BF"/>
                <w:sz w:val="24"/>
                <w:szCs w:val="24"/>
              </w:rPr>
            </w:pPr>
          </w:p>
          <w:p w14:paraId="69AE4D9A" w14:textId="4D19D4E7" w:rsidR="00F5243C" w:rsidRPr="000A61E2" w:rsidRDefault="00F5243C" w:rsidP="00F5243C">
            <w:pPr>
              <w:rPr>
                <w:rFonts w:ascii="Aptos" w:hAnsi="Aptos"/>
                <w:b/>
                <w:bCs/>
                <w:i/>
                <w:iCs/>
                <w:color w:val="2F5496" w:themeColor="accent5" w:themeShade="BF"/>
                <w:sz w:val="24"/>
                <w:szCs w:val="24"/>
              </w:rPr>
            </w:pPr>
            <w:r w:rsidRPr="000A61E2">
              <w:rPr>
                <w:rFonts w:ascii="Aptos" w:hAnsi="Aptos"/>
                <w:b/>
                <w:bCs/>
                <w:i/>
                <w:iCs/>
                <w:color w:val="2F5496" w:themeColor="accent5" w:themeShade="BF"/>
                <w:sz w:val="24"/>
                <w:szCs w:val="24"/>
              </w:rPr>
              <w:t>How to apply</w:t>
            </w:r>
          </w:p>
          <w:p w14:paraId="5EE3FA30" w14:textId="77777777"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To apply for funding from DVA you will need to complete the Provider Application Form and submit this</w:t>
            </w:r>
          </w:p>
          <w:p w14:paraId="465B475F" w14:textId="75B948CA"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along with supporting documentation to </w:t>
            </w:r>
            <w:hyperlink r:id="rId21" w:history="1">
              <w:r w:rsidRPr="000A61E2">
                <w:rPr>
                  <w:rStyle w:val="Hyperlink"/>
                  <w:rFonts w:ascii="Aptos" w:hAnsi="Aptos"/>
                  <w:sz w:val="24"/>
                  <w:szCs w:val="24"/>
                </w:rPr>
                <w:t>DVA.Sustainability.Payments@dva.gov.au</w:t>
              </w:r>
            </w:hyperlink>
            <w:r w:rsidRPr="000A61E2">
              <w:rPr>
                <w:rFonts w:ascii="Aptos" w:hAnsi="Aptos"/>
                <w:color w:val="2F5496" w:themeColor="accent5" w:themeShade="BF"/>
                <w:sz w:val="24"/>
                <w:szCs w:val="24"/>
              </w:rPr>
              <w:t>.</w:t>
            </w:r>
            <w:r w:rsidR="00702C64" w:rsidRPr="000A61E2">
              <w:rPr>
                <w:rFonts w:ascii="Aptos" w:hAnsi="Aptos"/>
                <w:color w:val="2F5496" w:themeColor="accent5" w:themeShade="BF"/>
                <w:sz w:val="24"/>
                <w:szCs w:val="24"/>
              </w:rPr>
              <w:t xml:space="preserve"> </w:t>
            </w:r>
            <w:r w:rsidRPr="000A61E2">
              <w:rPr>
                <w:rFonts w:ascii="Aptos" w:hAnsi="Aptos"/>
                <w:color w:val="2F5496" w:themeColor="accent5" w:themeShade="BF"/>
                <w:sz w:val="24"/>
                <w:szCs w:val="24"/>
              </w:rPr>
              <w:t>Applications close on 3</w:t>
            </w:r>
            <w:r w:rsidR="000D6ACA" w:rsidRPr="000A61E2">
              <w:rPr>
                <w:rFonts w:ascii="Aptos" w:hAnsi="Aptos"/>
                <w:color w:val="2F5496" w:themeColor="accent5" w:themeShade="BF"/>
                <w:sz w:val="24"/>
                <w:szCs w:val="24"/>
              </w:rPr>
              <w:t>0 November</w:t>
            </w:r>
            <w:r w:rsidRPr="000A61E2">
              <w:rPr>
                <w:rFonts w:ascii="Aptos" w:hAnsi="Aptos"/>
                <w:color w:val="2F5496" w:themeColor="accent5" w:themeShade="BF"/>
                <w:sz w:val="24"/>
                <w:szCs w:val="24"/>
              </w:rPr>
              <w:t xml:space="preserve"> 2025.</w:t>
            </w:r>
          </w:p>
          <w:p w14:paraId="3E25CF3C" w14:textId="77777777" w:rsidR="00143B01" w:rsidRPr="000A61E2" w:rsidRDefault="00143B01" w:rsidP="00F5243C">
            <w:pPr>
              <w:rPr>
                <w:rFonts w:ascii="Aptos" w:hAnsi="Aptos"/>
                <w:color w:val="2F5496" w:themeColor="accent5" w:themeShade="BF"/>
                <w:sz w:val="24"/>
                <w:szCs w:val="24"/>
              </w:rPr>
            </w:pPr>
          </w:p>
          <w:p w14:paraId="36CDEA0B" w14:textId="503937FD" w:rsidR="00F5243C" w:rsidRPr="000A61E2" w:rsidRDefault="00F5243C" w:rsidP="00F5243C">
            <w:pPr>
              <w:rPr>
                <w:rFonts w:ascii="Aptos" w:hAnsi="Aptos"/>
                <w:color w:val="2F5496" w:themeColor="accent5" w:themeShade="BF"/>
                <w:sz w:val="24"/>
                <w:szCs w:val="24"/>
              </w:rPr>
            </w:pPr>
            <w:r w:rsidRPr="000A61E2">
              <w:rPr>
                <w:rFonts w:ascii="Aptos" w:hAnsi="Aptos"/>
                <w:color w:val="2F5496" w:themeColor="accent5" w:themeShade="BF"/>
                <w:sz w:val="24"/>
                <w:szCs w:val="24"/>
              </w:rPr>
              <w:t>Please refer to the attached Aged Care Wages – Historical Leave Liability Funding documents:</w:t>
            </w:r>
          </w:p>
          <w:p w14:paraId="14987C5E" w14:textId="42D6F0D9" w:rsidR="00F5243C" w:rsidRPr="000A61E2" w:rsidRDefault="00F5243C" w:rsidP="0075726A">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Provider Application Process and Guidelines </w:t>
            </w:r>
            <w:r w:rsidR="0075726A" w:rsidRPr="000A61E2">
              <w:rPr>
                <w:rFonts w:ascii="Aptos" w:hAnsi="Aptos"/>
                <w:color w:val="2F5496" w:themeColor="accent5" w:themeShade="BF"/>
                <w:sz w:val="24"/>
                <w:szCs w:val="24"/>
              </w:rPr>
              <w:t>–</w:t>
            </w:r>
            <w:r w:rsidRPr="000A61E2">
              <w:rPr>
                <w:rFonts w:ascii="Aptos" w:hAnsi="Aptos"/>
                <w:color w:val="2F5496" w:themeColor="accent5" w:themeShade="BF"/>
                <w:sz w:val="24"/>
                <w:szCs w:val="24"/>
              </w:rPr>
              <w:t xml:space="preserve"> </w:t>
            </w:r>
            <w:r w:rsidR="00626DC5" w:rsidRPr="000A61E2">
              <w:rPr>
                <w:rFonts w:ascii="Aptos" w:hAnsi="Aptos"/>
                <w:color w:val="2F5496" w:themeColor="accent5" w:themeShade="BF"/>
                <w:sz w:val="24"/>
                <w:szCs w:val="24"/>
              </w:rPr>
              <w:t>October</w:t>
            </w:r>
            <w:r w:rsidRPr="000A61E2">
              <w:rPr>
                <w:rFonts w:ascii="Aptos" w:hAnsi="Aptos"/>
                <w:color w:val="2F5496" w:themeColor="accent5" w:themeShade="BF"/>
                <w:sz w:val="24"/>
                <w:szCs w:val="24"/>
              </w:rPr>
              <w:t xml:space="preserve"> 2025</w:t>
            </w:r>
          </w:p>
          <w:p w14:paraId="6E9B681B" w14:textId="5D73CE4C" w:rsidR="007A5BB1" w:rsidRPr="000A61E2" w:rsidRDefault="00F5243C" w:rsidP="0075726A">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Provider FAQs </w:t>
            </w:r>
            <w:r w:rsidR="00655D02" w:rsidRPr="000A61E2">
              <w:rPr>
                <w:rFonts w:ascii="Aptos" w:hAnsi="Aptos"/>
                <w:color w:val="2F5496" w:themeColor="accent5" w:themeShade="BF"/>
                <w:sz w:val="24"/>
                <w:szCs w:val="24"/>
              </w:rPr>
              <w:t>–</w:t>
            </w:r>
            <w:r w:rsidRPr="000A61E2">
              <w:rPr>
                <w:rFonts w:ascii="Aptos" w:hAnsi="Aptos"/>
                <w:color w:val="2F5496" w:themeColor="accent5" w:themeShade="BF"/>
                <w:sz w:val="24"/>
                <w:szCs w:val="24"/>
              </w:rPr>
              <w:t xml:space="preserve"> </w:t>
            </w:r>
            <w:r w:rsidR="007A5BB1" w:rsidRPr="000A61E2">
              <w:rPr>
                <w:rFonts w:ascii="Aptos" w:hAnsi="Aptos"/>
                <w:color w:val="2F5496" w:themeColor="accent5" w:themeShade="BF"/>
                <w:sz w:val="24"/>
                <w:szCs w:val="24"/>
              </w:rPr>
              <w:t>October 2025</w:t>
            </w:r>
          </w:p>
          <w:p w14:paraId="550E1192" w14:textId="4DA5D9A5" w:rsidR="00143B01" w:rsidRPr="000A61E2" w:rsidRDefault="00F5243C" w:rsidP="0075726A">
            <w:pPr>
              <w:pStyle w:val="ListParagraph"/>
              <w:numPr>
                <w:ilvl w:val="0"/>
                <w:numId w:val="9"/>
              </w:num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Provider Application Form </w:t>
            </w:r>
            <w:r w:rsidR="0075726A" w:rsidRPr="000A61E2">
              <w:rPr>
                <w:rFonts w:ascii="Aptos" w:hAnsi="Aptos"/>
                <w:color w:val="2F5496" w:themeColor="accent5" w:themeShade="BF"/>
                <w:sz w:val="24"/>
                <w:szCs w:val="24"/>
              </w:rPr>
              <w:t>–</w:t>
            </w:r>
            <w:r w:rsidRPr="000A61E2">
              <w:rPr>
                <w:rFonts w:ascii="Aptos" w:hAnsi="Aptos"/>
                <w:color w:val="2F5496" w:themeColor="accent5" w:themeShade="BF"/>
                <w:sz w:val="24"/>
                <w:szCs w:val="24"/>
              </w:rPr>
              <w:t xml:space="preserve"> </w:t>
            </w:r>
            <w:r w:rsidR="00626DC5" w:rsidRPr="000A61E2">
              <w:rPr>
                <w:rFonts w:ascii="Aptos" w:hAnsi="Aptos"/>
                <w:color w:val="2F5496" w:themeColor="accent5" w:themeShade="BF"/>
                <w:sz w:val="24"/>
                <w:szCs w:val="24"/>
              </w:rPr>
              <w:t>Octob</w:t>
            </w:r>
            <w:r w:rsidR="0075726A" w:rsidRPr="000A61E2">
              <w:rPr>
                <w:rFonts w:ascii="Aptos" w:hAnsi="Aptos"/>
                <w:color w:val="2F5496" w:themeColor="accent5" w:themeShade="BF"/>
                <w:sz w:val="24"/>
                <w:szCs w:val="24"/>
              </w:rPr>
              <w:t>er 2025</w:t>
            </w:r>
          </w:p>
          <w:p w14:paraId="771D5EA0" w14:textId="77777777" w:rsidR="00143B01" w:rsidRPr="000A61E2" w:rsidRDefault="00143B01" w:rsidP="00F5243C">
            <w:pPr>
              <w:rPr>
                <w:rFonts w:ascii="Aptos" w:hAnsi="Aptos"/>
                <w:color w:val="2F5496" w:themeColor="accent5" w:themeShade="BF"/>
                <w:sz w:val="24"/>
                <w:szCs w:val="24"/>
              </w:rPr>
            </w:pPr>
          </w:p>
          <w:p w14:paraId="6AC35BAF" w14:textId="5ABB9394" w:rsidR="00D835C5" w:rsidRPr="000A61E2" w:rsidRDefault="00F5243C" w:rsidP="00D835C5">
            <w:pPr>
              <w:rPr>
                <w:rFonts w:ascii="Aptos" w:hAnsi="Aptos"/>
                <w:color w:val="2F5496" w:themeColor="accent5" w:themeShade="BF"/>
                <w:sz w:val="24"/>
                <w:szCs w:val="24"/>
              </w:rPr>
            </w:pPr>
            <w:r w:rsidRPr="000A61E2">
              <w:rPr>
                <w:rFonts w:ascii="Aptos" w:hAnsi="Aptos"/>
                <w:color w:val="2F5496" w:themeColor="accent5" w:themeShade="BF"/>
                <w:sz w:val="24"/>
                <w:szCs w:val="24"/>
              </w:rPr>
              <w:t xml:space="preserve">If you have any questions regarding the application and funding process, please email </w:t>
            </w:r>
            <w:hyperlink r:id="rId22" w:history="1">
              <w:r w:rsidRPr="000A61E2">
                <w:rPr>
                  <w:rStyle w:val="Hyperlink"/>
                  <w:rFonts w:ascii="Aptos" w:hAnsi="Aptos"/>
                  <w:sz w:val="24"/>
                  <w:szCs w:val="24"/>
                </w:rPr>
                <w:t>DVA.Sustainability.Payments@dva.gov.au</w:t>
              </w:r>
            </w:hyperlink>
            <w:r w:rsidRPr="000A61E2">
              <w:rPr>
                <w:rFonts w:ascii="Aptos" w:hAnsi="Aptos"/>
                <w:color w:val="2F5496" w:themeColor="accent5" w:themeShade="BF"/>
                <w:sz w:val="24"/>
                <w:szCs w:val="24"/>
              </w:rPr>
              <w:t>.</w:t>
            </w:r>
          </w:p>
        </w:tc>
      </w:tr>
      <w:tr w:rsidR="00CE60E1" w:rsidRPr="000A61E2" w14:paraId="2ABD6E5C" w14:textId="77777777" w:rsidTr="00D77D96">
        <w:trPr>
          <w:trHeight w:val="2956"/>
        </w:trPr>
        <w:tc>
          <w:tcPr>
            <w:tcW w:w="11340" w:type="dxa"/>
            <w:tcBorders>
              <w:top w:val="nil"/>
              <w:bottom w:val="nil"/>
            </w:tcBorders>
            <w:shd w:val="clear" w:color="auto" w:fill="FFF2CC" w:themeFill="accent4" w:themeFillTint="33"/>
          </w:tcPr>
          <w:p w14:paraId="4E070E78" w14:textId="77777777" w:rsidR="009C2CD4" w:rsidRPr="009C2CD4" w:rsidRDefault="009C2CD4" w:rsidP="00CE60E1">
            <w:pPr>
              <w:rPr>
                <w:rFonts w:ascii="Aptos" w:hAnsi="Aptos" w:cs="Arial"/>
                <w:color w:val="002060"/>
                <w:sz w:val="16"/>
                <w:szCs w:val="16"/>
              </w:rPr>
            </w:pPr>
          </w:p>
          <w:p w14:paraId="3B312440" w14:textId="3B949438" w:rsidR="00CE60E1" w:rsidRPr="000A61E2" w:rsidRDefault="00CE60E1" w:rsidP="00CE60E1">
            <w:pPr>
              <w:rPr>
                <w:rFonts w:ascii="Aptos" w:hAnsi="Aptos" w:cs="Arial"/>
                <w:color w:val="002060"/>
                <w:sz w:val="36"/>
                <w:szCs w:val="36"/>
              </w:rPr>
            </w:pPr>
            <w:r w:rsidRPr="000A61E2">
              <w:rPr>
                <w:rFonts w:ascii="Aptos" w:hAnsi="Aptos" w:cs="Arial"/>
                <w:color w:val="002060"/>
                <w:sz w:val="36"/>
                <w:szCs w:val="36"/>
              </w:rPr>
              <w:t>Human</w:t>
            </w:r>
            <w:r w:rsidR="00093437" w:rsidRPr="000A61E2">
              <w:rPr>
                <w:rFonts w:ascii="Aptos" w:hAnsi="Aptos" w:cs="Arial"/>
                <w:color w:val="002060"/>
                <w:sz w:val="36"/>
                <w:szCs w:val="36"/>
              </w:rPr>
              <w:t>A</w:t>
            </w:r>
            <w:r w:rsidRPr="000A61E2">
              <w:rPr>
                <w:rFonts w:ascii="Aptos" w:hAnsi="Aptos" w:cs="Arial"/>
                <w:color w:val="002060"/>
                <w:sz w:val="36"/>
                <w:szCs w:val="36"/>
              </w:rPr>
              <w:t>bility</w:t>
            </w:r>
            <w:r w:rsidR="00F00C6F" w:rsidRPr="000A61E2">
              <w:rPr>
                <w:rFonts w:ascii="Aptos" w:hAnsi="Aptos" w:cs="Arial"/>
                <w:color w:val="002060"/>
                <w:sz w:val="36"/>
                <w:szCs w:val="36"/>
              </w:rPr>
              <w:t xml:space="preserve"> Career Pathways Project</w:t>
            </w:r>
          </w:p>
          <w:p w14:paraId="497EB167" w14:textId="77777777" w:rsidR="00093437" w:rsidRPr="009C2CD4" w:rsidRDefault="00093437" w:rsidP="00CE60E1">
            <w:pPr>
              <w:rPr>
                <w:rFonts w:ascii="Aptos" w:hAnsi="Aptos" w:cs="Arial"/>
                <w:color w:val="002060"/>
                <w:sz w:val="20"/>
                <w:szCs w:val="20"/>
              </w:rPr>
            </w:pPr>
          </w:p>
          <w:p w14:paraId="469ED12D" w14:textId="77777777" w:rsidR="00F9136C" w:rsidRPr="000A61E2" w:rsidRDefault="00F9136C"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HumanAbility is the Jobs and Skills Council for the care and support economy to ensure Australia’s vocational education and training sector delivers better outcomes for learners and employers.  </w:t>
            </w:r>
          </w:p>
          <w:p w14:paraId="55CB972B" w14:textId="77777777" w:rsidR="00F9136C" w:rsidRPr="000A61E2" w:rsidRDefault="00F9136C" w:rsidP="00F9136C">
            <w:pPr>
              <w:rPr>
                <w:rFonts w:ascii="Aptos" w:hAnsi="Aptos" w:cs="Arial"/>
                <w:color w:val="2F5496" w:themeColor="accent5" w:themeShade="BF"/>
                <w:sz w:val="24"/>
                <w:szCs w:val="24"/>
              </w:rPr>
            </w:pPr>
          </w:p>
          <w:p w14:paraId="7E733511" w14:textId="28084105" w:rsidR="00F9136C" w:rsidRPr="000A61E2" w:rsidRDefault="00F9136C"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The aim of the Career Pathways Project was to develop clear and rewarding career paths for existing and future employees, including those in the aged, disability and veteran</w:t>
            </w:r>
            <w:r w:rsidR="00E059D0" w:rsidRPr="000A61E2">
              <w:rPr>
                <w:rFonts w:ascii="Aptos" w:hAnsi="Aptos" w:cs="Arial"/>
                <w:color w:val="2F5496" w:themeColor="accent5" w:themeShade="BF"/>
                <w:sz w:val="24"/>
                <w:szCs w:val="24"/>
              </w:rPr>
              <w:t>s’ care</w:t>
            </w:r>
            <w:r w:rsidRPr="000A61E2">
              <w:rPr>
                <w:rFonts w:ascii="Aptos" w:hAnsi="Aptos" w:cs="Arial"/>
                <w:color w:val="2F5496" w:themeColor="accent5" w:themeShade="BF"/>
                <w:sz w:val="24"/>
                <w:szCs w:val="24"/>
              </w:rPr>
              <w:t xml:space="preserve"> sectors.  One of the outcomes of the project is a series of resources for learners, job seekers and employers including a Career Pathways Framework and a Good Practice Guide. These resources are free to download and share.</w:t>
            </w:r>
          </w:p>
          <w:p w14:paraId="24C7D553" w14:textId="77777777" w:rsidR="00F9136C" w:rsidRPr="000A61E2" w:rsidRDefault="00F9136C" w:rsidP="00F9136C">
            <w:pPr>
              <w:rPr>
                <w:rFonts w:ascii="Aptos" w:hAnsi="Aptos" w:cs="Arial"/>
                <w:color w:val="2F5496" w:themeColor="accent5" w:themeShade="BF"/>
                <w:sz w:val="24"/>
                <w:szCs w:val="24"/>
              </w:rPr>
            </w:pPr>
          </w:p>
          <w:p w14:paraId="214F8647" w14:textId="77777777" w:rsidR="00F9136C" w:rsidRPr="000A61E2" w:rsidRDefault="00F9136C" w:rsidP="00F9136C">
            <w:pPr>
              <w:rPr>
                <w:rFonts w:ascii="Aptos" w:hAnsi="Aptos"/>
                <w:b/>
                <w:bCs/>
                <w:color w:val="2F5496" w:themeColor="accent5" w:themeShade="BF"/>
                <w:sz w:val="24"/>
                <w:szCs w:val="24"/>
              </w:rPr>
            </w:pPr>
            <w:r w:rsidRPr="000A61E2">
              <w:rPr>
                <w:rFonts w:ascii="Aptos" w:hAnsi="Aptos"/>
                <w:b/>
                <w:bCs/>
                <w:color w:val="2F5496" w:themeColor="accent5" w:themeShade="BF"/>
                <w:sz w:val="24"/>
                <w:szCs w:val="24"/>
              </w:rPr>
              <w:t>Career Pathways Framework</w:t>
            </w:r>
          </w:p>
          <w:p w14:paraId="02DF2352" w14:textId="77777777" w:rsidR="00F9136C" w:rsidRPr="000A61E2" w:rsidRDefault="00F9136C"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The Career Pathways Framework outlines:</w:t>
            </w:r>
          </w:p>
          <w:p w14:paraId="455AA5E1" w14:textId="77777777" w:rsidR="00F9136C" w:rsidRPr="000A61E2" w:rsidRDefault="00F9136C" w:rsidP="00F9136C">
            <w:pPr>
              <w:numPr>
                <w:ilvl w:val="0"/>
                <w:numId w:val="11"/>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Current and emerging roles within the care and support workforce.</w:t>
            </w:r>
          </w:p>
          <w:p w14:paraId="419A7F35" w14:textId="77777777" w:rsidR="00F9136C" w:rsidRPr="000A61E2" w:rsidRDefault="00F9136C" w:rsidP="00F9136C">
            <w:pPr>
              <w:numPr>
                <w:ilvl w:val="0"/>
                <w:numId w:val="11"/>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Describes the purpose, tasks, education and training requirements for each role in the aged care, disability, and veterans’ care sectors.</w:t>
            </w:r>
          </w:p>
          <w:p w14:paraId="6A623A67" w14:textId="77777777" w:rsidR="003F5A07" w:rsidRPr="000A61E2" w:rsidRDefault="003F5A07" w:rsidP="00F9136C">
            <w:pPr>
              <w:rPr>
                <w:rFonts w:ascii="Aptos" w:hAnsi="Aptos" w:cs="Arial"/>
                <w:color w:val="2F5496" w:themeColor="accent5" w:themeShade="BF"/>
                <w:sz w:val="24"/>
                <w:szCs w:val="24"/>
              </w:rPr>
            </w:pPr>
          </w:p>
          <w:p w14:paraId="5F0EF642" w14:textId="02574E44" w:rsidR="00F9136C" w:rsidRPr="000A61E2" w:rsidRDefault="00F9136C"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The Framework is intended to be used by stakeholders to support workforce development, including prospective </w:t>
            </w:r>
            <w:r w:rsidRPr="000A61E2">
              <w:rPr>
                <w:rFonts w:ascii="Aptos" w:hAnsi="Aptos"/>
                <w:b/>
                <w:bCs/>
                <w:color w:val="2F5496" w:themeColor="accent5" w:themeShade="BF"/>
                <w:sz w:val="24"/>
                <w:szCs w:val="24"/>
              </w:rPr>
              <w:t>employees</w:t>
            </w:r>
            <w:r w:rsidRPr="000A61E2">
              <w:rPr>
                <w:rFonts w:ascii="Aptos" w:hAnsi="Aptos" w:cs="Arial"/>
                <w:color w:val="2F5496" w:themeColor="accent5" w:themeShade="BF"/>
                <w:sz w:val="24"/>
                <w:szCs w:val="24"/>
              </w:rPr>
              <w:t xml:space="preserve"> who seek to enter the sectors, careers advisors working in schools or the community and government in understanding workforce needs.</w:t>
            </w:r>
          </w:p>
          <w:p w14:paraId="5C0A324B" w14:textId="77777777" w:rsidR="00F9136C" w:rsidRPr="000A61E2" w:rsidRDefault="00F9136C" w:rsidP="00F9136C">
            <w:pPr>
              <w:rPr>
                <w:rFonts w:ascii="Aptos" w:hAnsi="Aptos" w:cs="Arial"/>
                <w:color w:val="2F5496" w:themeColor="accent5" w:themeShade="BF"/>
                <w:sz w:val="24"/>
                <w:szCs w:val="24"/>
              </w:rPr>
            </w:pPr>
          </w:p>
          <w:p w14:paraId="0E384BCE" w14:textId="77777777" w:rsidR="00F9136C" w:rsidRPr="000A61E2" w:rsidRDefault="00F9136C" w:rsidP="00F9136C">
            <w:pPr>
              <w:rPr>
                <w:rFonts w:ascii="Aptos" w:hAnsi="Aptos"/>
                <w:b/>
                <w:bCs/>
                <w:color w:val="2F5496" w:themeColor="accent5" w:themeShade="BF"/>
                <w:sz w:val="24"/>
                <w:szCs w:val="24"/>
              </w:rPr>
            </w:pPr>
            <w:r w:rsidRPr="000A61E2">
              <w:rPr>
                <w:rFonts w:ascii="Aptos" w:hAnsi="Aptos"/>
                <w:b/>
                <w:bCs/>
                <w:color w:val="2F5496" w:themeColor="accent5" w:themeShade="BF"/>
                <w:sz w:val="24"/>
                <w:szCs w:val="24"/>
              </w:rPr>
              <w:t>Good Practice Guide for the Care and Support Sectors</w:t>
            </w:r>
          </w:p>
          <w:p w14:paraId="20C0C82C" w14:textId="77777777" w:rsidR="00F9136C" w:rsidRPr="000A61E2" w:rsidRDefault="00F9136C"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This Good Practice Guide is designed to provide:</w:t>
            </w:r>
          </w:p>
          <w:p w14:paraId="1ECC0B84" w14:textId="77777777" w:rsidR="00F9136C" w:rsidRPr="000A61E2" w:rsidRDefault="00F9136C" w:rsidP="00F9136C">
            <w:pPr>
              <w:numPr>
                <w:ilvl w:val="0"/>
                <w:numId w:val="12"/>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Practical information that outlines insights into core issues and common barriers employers may experience.</w:t>
            </w:r>
          </w:p>
          <w:p w14:paraId="14E27E07" w14:textId="77777777" w:rsidR="00F9136C" w:rsidRPr="000A61E2" w:rsidRDefault="00F9136C" w:rsidP="00F9136C">
            <w:pPr>
              <w:numPr>
                <w:ilvl w:val="0"/>
                <w:numId w:val="12"/>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Strategies to improve outcomes to attract, develop and retain aged care, disability and veterans’ care sector workforces.</w:t>
            </w:r>
          </w:p>
          <w:p w14:paraId="5009996D" w14:textId="77777777" w:rsidR="00F9136C" w:rsidRPr="000A61E2" w:rsidRDefault="00F9136C" w:rsidP="00F9136C">
            <w:pPr>
              <w:rPr>
                <w:rFonts w:ascii="Aptos" w:hAnsi="Aptos" w:cs="Arial"/>
                <w:color w:val="2F5496" w:themeColor="accent5" w:themeShade="BF"/>
                <w:sz w:val="24"/>
                <w:szCs w:val="24"/>
              </w:rPr>
            </w:pPr>
          </w:p>
          <w:p w14:paraId="27DA65D2" w14:textId="77777777" w:rsidR="007262B4" w:rsidRPr="000A61E2" w:rsidRDefault="007262B4" w:rsidP="00F9136C">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Further information is available at the following link:</w:t>
            </w:r>
          </w:p>
          <w:p w14:paraId="77B9DF2F" w14:textId="77777777" w:rsidR="007262B4" w:rsidRPr="000A61E2" w:rsidRDefault="007262B4" w:rsidP="007262B4">
            <w:pPr>
              <w:rPr>
                <w:rFonts w:ascii="Aptos" w:hAnsi="Aptos" w:cs="Arial"/>
                <w:color w:val="002060"/>
                <w:sz w:val="24"/>
                <w:szCs w:val="24"/>
              </w:rPr>
            </w:pPr>
            <w:hyperlink r:id="rId23" w:history="1">
              <w:r w:rsidRPr="000A61E2">
                <w:rPr>
                  <w:rStyle w:val="Hyperlink"/>
                  <w:rFonts w:ascii="Aptos" w:hAnsi="Aptos" w:cs="Arial"/>
                  <w:sz w:val="24"/>
                  <w:szCs w:val="24"/>
                </w:rPr>
                <w:t>Resources to Support Career Pathways in Aged Care, Disability Services and Veterans' Care - HumanAbility</w:t>
              </w:r>
            </w:hyperlink>
          </w:p>
          <w:p w14:paraId="453CA705" w14:textId="77777777" w:rsidR="007262B4" w:rsidRPr="000A61E2" w:rsidRDefault="007262B4" w:rsidP="00F9136C">
            <w:pPr>
              <w:rPr>
                <w:rFonts w:ascii="Aptos" w:hAnsi="Aptos" w:cs="Arial"/>
                <w:color w:val="2F5496" w:themeColor="accent5" w:themeShade="BF"/>
                <w:sz w:val="24"/>
                <w:szCs w:val="24"/>
              </w:rPr>
            </w:pPr>
          </w:p>
          <w:p w14:paraId="5F64E636" w14:textId="64DAF3FC" w:rsidR="00F9136C" w:rsidRPr="000A61E2" w:rsidRDefault="00764853" w:rsidP="00F9136C">
            <w:pPr>
              <w:rPr>
                <w:rFonts w:ascii="Aptos" w:hAnsi="Aptos" w:cs="Arial"/>
                <w:color w:val="002060"/>
                <w:sz w:val="24"/>
                <w:szCs w:val="24"/>
              </w:rPr>
            </w:pPr>
            <w:r w:rsidRPr="000A61E2">
              <w:rPr>
                <w:rFonts w:ascii="Aptos" w:hAnsi="Aptos" w:cs="Arial"/>
                <w:color w:val="2F5496" w:themeColor="accent5" w:themeShade="BF"/>
                <w:sz w:val="24"/>
                <w:szCs w:val="24"/>
              </w:rPr>
              <w:t>Community Nursing</w:t>
            </w:r>
            <w:r w:rsidR="00F9136C" w:rsidRPr="000A61E2">
              <w:rPr>
                <w:rFonts w:ascii="Aptos" w:hAnsi="Aptos" w:cs="Arial"/>
                <w:color w:val="2F5496" w:themeColor="accent5" w:themeShade="BF"/>
                <w:sz w:val="24"/>
                <w:szCs w:val="24"/>
              </w:rPr>
              <w:t xml:space="preserve"> </w:t>
            </w:r>
            <w:r w:rsidRPr="000A61E2">
              <w:rPr>
                <w:rFonts w:ascii="Aptos" w:hAnsi="Aptos" w:cs="Arial"/>
                <w:color w:val="2F5496" w:themeColor="accent5" w:themeShade="BF"/>
                <w:sz w:val="24"/>
                <w:szCs w:val="24"/>
              </w:rPr>
              <w:t>p</w:t>
            </w:r>
            <w:r w:rsidR="00F9136C" w:rsidRPr="000A61E2">
              <w:rPr>
                <w:rFonts w:ascii="Aptos" w:hAnsi="Aptos" w:cs="Arial"/>
                <w:color w:val="2F5496" w:themeColor="accent5" w:themeShade="BF"/>
                <w:sz w:val="24"/>
                <w:szCs w:val="24"/>
              </w:rPr>
              <w:t xml:space="preserve">roviders </w:t>
            </w:r>
            <w:r w:rsidR="00591F33" w:rsidRPr="000A61E2">
              <w:rPr>
                <w:rFonts w:ascii="Aptos" w:hAnsi="Aptos" w:cs="Arial"/>
                <w:color w:val="2F5496" w:themeColor="accent5" w:themeShade="BF"/>
                <w:sz w:val="24"/>
                <w:szCs w:val="24"/>
              </w:rPr>
              <w:t>may</w:t>
            </w:r>
            <w:r w:rsidR="00D638DD" w:rsidRPr="000A61E2">
              <w:rPr>
                <w:rFonts w:ascii="Aptos" w:hAnsi="Aptos" w:cs="Arial"/>
                <w:color w:val="2F5496" w:themeColor="accent5" w:themeShade="BF"/>
                <w:sz w:val="24"/>
                <w:szCs w:val="24"/>
              </w:rPr>
              <w:t xml:space="preserve"> choose to</w:t>
            </w:r>
            <w:r w:rsidR="00F9136C" w:rsidRPr="000A61E2">
              <w:rPr>
                <w:rFonts w:ascii="Aptos" w:hAnsi="Aptos" w:cs="Arial"/>
                <w:color w:val="2F5496" w:themeColor="accent5" w:themeShade="BF"/>
                <w:sz w:val="24"/>
                <w:szCs w:val="24"/>
              </w:rPr>
              <w:t xml:space="preserve"> distribute </w:t>
            </w:r>
            <w:proofErr w:type="gramStart"/>
            <w:r w:rsidR="00F9136C" w:rsidRPr="000A61E2">
              <w:rPr>
                <w:rFonts w:ascii="Aptos" w:hAnsi="Aptos" w:cs="Arial"/>
                <w:color w:val="2F5496" w:themeColor="accent5" w:themeShade="BF"/>
                <w:sz w:val="24"/>
                <w:szCs w:val="24"/>
              </w:rPr>
              <w:t>th</w:t>
            </w:r>
            <w:r w:rsidR="00591F33" w:rsidRPr="000A61E2">
              <w:rPr>
                <w:rFonts w:ascii="Aptos" w:hAnsi="Aptos" w:cs="Arial"/>
                <w:color w:val="2F5496" w:themeColor="accent5" w:themeShade="BF"/>
                <w:sz w:val="24"/>
                <w:szCs w:val="24"/>
              </w:rPr>
              <w:t xml:space="preserve">is </w:t>
            </w:r>
            <w:r w:rsidR="00F9136C" w:rsidRPr="000A61E2">
              <w:rPr>
                <w:rFonts w:ascii="Aptos" w:hAnsi="Aptos" w:cs="Arial"/>
                <w:color w:val="2F5496" w:themeColor="accent5" w:themeShade="BF"/>
                <w:sz w:val="24"/>
                <w:szCs w:val="24"/>
              </w:rPr>
              <w:t xml:space="preserve"> link</w:t>
            </w:r>
            <w:proofErr w:type="gramEnd"/>
            <w:r w:rsidR="00D638DD" w:rsidRPr="000A61E2">
              <w:rPr>
                <w:rFonts w:ascii="Aptos" w:hAnsi="Aptos" w:cs="Arial"/>
                <w:color w:val="2F5496" w:themeColor="accent5" w:themeShade="BF"/>
                <w:sz w:val="24"/>
                <w:szCs w:val="24"/>
              </w:rPr>
              <w:t xml:space="preserve"> to interested stakeholders within their</w:t>
            </w:r>
            <w:r w:rsidR="00F9136C" w:rsidRPr="000A61E2">
              <w:rPr>
                <w:rFonts w:ascii="Aptos" w:hAnsi="Aptos" w:cs="Arial"/>
                <w:color w:val="2F5496" w:themeColor="accent5" w:themeShade="BF"/>
                <w:sz w:val="24"/>
                <w:szCs w:val="24"/>
              </w:rPr>
              <w:t xml:space="preserve"> networks</w:t>
            </w:r>
            <w:r w:rsidR="00D638DD" w:rsidRPr="000A61E2">
              <w:rPr>
                <w:rFonts w:ascii="Aptos" w:hAnsi="Aptos" w:cs="Arial"/>
                <w:color w:val="2F5496" w:themeColor="accent5" w:themeShade="BF"/>
                <w:sz w:val="24"/>
                <w:szCs w:val="24"/>
              </w:rPr>
              <w:t>.</w:t>
            </w:r>
          </w:p>
          <w:p w14:paraId="20885F51" w14:textId="1A5CEE6A" w:rsidR="00CE60E1" w:rsidRPr="000A61E2" w:rsidRDefault="00CE60E1" w:rsidP="00CE60E1">
            <w:pPr>
              <w:rPr>
                <w:rFonts w:ascii="Aptos" w:hAnsi="Aptos" w:cs="Arial"/>
                <w:color w:val="002060"/>
                <w:sz w:val="24"/>
                <w:szCs w:val="24"/>
              </w:rPr>
            </w:pPr>
          </w:p>
        </w:tc>
      </w:tr>
      <w:tr w:rsidR="001A38B5" w:rsidRPr="000A61E2" w14:paraId="74400D5C" w14:textId="77777777" w:rsidTr="005B19F4">
        <w:trPr>
          <w:trHeight w:val="2812"/>
        </w:trPr>
        <w:tc>
          <w:tcPr>
            <w:tcW w:w="11340" w:type="dxa"/>
            <w:shd w:val="clear" w:color="auto" w:fill="D8CBFD"/>
          </w:tcPr>
          <w:p w14:paraId="6C9C19BF" w14:textId="77777777" w:rsidR="009C2CD4" w:rsidRPr="009C2CD4" w:rsidRDefault="009C2CD4" w:rsidP="00C44CA6">
            <w:pPr>
              <w:spacing w:line="259" w:lineRule="auto"/>
              <w:rPr>
                <w:rFonts w:ascii="Aptos" w:hAnsi="Aptos" w:cs="Arial"/>
                <w:color w:val="002060"/>
                <w:sz w:val="16"/>
                <w:szCs w:val="16"/>
              </w:rPr>
            </w:pPr>
          </w:p>
          <w:p w14:paraId="1070A203" w14:textId="6DF86087" w:rsidR="00C44CA6" w:rsidRPr="000A61E2" w:rsidRDefault="00C44CA6" w:rsidP="00C44CA6">
            <w:pPr>
              <w:spacing w:line="259" w:lineRule="auto"/>
              <w:rPr>
                <w:rFonts w:ascii="Aptos" w:hAnsi="Aptos" w:cs="Arial"/>
                <w:color w:val="002060"/>
                <w:sz w:val="36"/>
                <w:szCs w:val="36"/>
              </w:rPr>
            </w:pPr>
            <w:r w:rsidRPr="000A61E2">
              <w:rPr>
                <w:rFonts w:ascii="Aptos" w:hAnsi="Aptos" w:cs="Arial"/>
                <w:color w:val="002060"/>
                <w:sz w:val="36"/>
                <w:szCs w:val="36"/>
              </w:rPr>
              <w:t xml:space="preserve">DVA Website </w:t>
            </w:r>
          </w:p>
          <w:p w14:paraId="4D49980A" w14:textId="77777777" w:rsidR="00093437" w:rsidRPr="009C2CD4" w:rsidRDefault="00093437" w:rsidP="00C44CA6">
            <w:pPr>
              <w:spacing w:line="259" w:lineRule="auto"/>
              <w:rPr>
                <w:rFonts w:ascii="Aptos" w:hAnsi="Aptos" w:cs="Arial"/>
                <w:color w:val="002060"/>
                <w:sz w:val="20"/>
                <w:szCs w:val="20"/>
              </w:rPr>
            </w:pPr>
          </w:p>
          <w:p w14:paraId="4C040283" w14:textId="77777777" w:rsidR="00C44CA6" w:rsidRPr="000A61E2" w:rsidRDefault="00C44CA6" w:rsidP="00C44CA6">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 xml:space="preserve">The enhanced DVA website in now live, offering a clearer, more intuitive experience for veterans, families, advocates and providers. </w:t>
            </w:r>
          </w:p>
          <w:p w14:paraId="50E148FC" w14:textId="77777777" w:rsidR="00C44CA6" w:rsidRPr="000A61E2" w:rsidRDefault="00C44CA6" w:rsidP="00C44CA6">
            <w:pPr>
              <w:rPr>
                <w:rFonts w:ascii="Aptos" w:hAnsi="Aptos" w:cs="Arial"/>
                <w:color w:val="2F5496" w:themeColor="accent5" w:themeShade="BF"/>
                <w:sz w:val="24"/>
                <w:szCs w:val="24"/>
              </w:rPr>
            </w:pPr>
          </w:p>
          <w:p w14:paraId="6DB9CCE0" w14:textId="77777777" w:rsidR="00C44CA6" w:rsidRPr="000A61E2" w:rsidRDefault="00C44CA6" w:rsidP="00C44CA6">
            <w:p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This major update reflects feedback gathered through co-design workshops, surveys and user testing and responds to recommendations from the Royal Commission into Defence and Veteran Suicide. Key improvements include:</w:t>
            </w:r>
          </w:p>
          <w:p w14:paraId="0BF5ABB5" w14:textId="77777777" w:rsidR="00C44CA6" w:rsidRPr="000A61E2" w:rsidRDefault="00C44CA6" w:rsidP="00C44CA6">
            <w:pPr>
              <w:numPr>
                <w:ilvl w:val="0"/>
                <w:numId w:val="5"/>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A new service-focused navigation system</w:t>
            </w:r>
          </w:p>
          <w:p w14:paraId="6AC8FBD1" w14:textId="77777777" w:rsidR="00C44CA6" w:rsidRPr="000A61E2" w:rsidRDefault="00C44CA6" w:rsidP="00C44CA6">
            <w:pPr>
              <w:numPr>
                <w:ilvl w:val="0"/>
                <w:numId w:val="5"/>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A modernised appearance with intuitive design</w:t>
            </w:r>
          </w:p>
          <w:p w14:paraId="3B71828D" w14:textId="77777777" w:rsidR="00C44CA6" w:rsidRPr="000A61E2" w:rsidRDefault="00C44CA6" w:rsidP="00C44CA6">
            <w:pPr>
              <w:numPr>
                <w:ilvl w:val="0"/>
                <w:numId w:val="5"/>
              </w:numPr>
              <w:rPr>
                <w:rFonts w:ascii="Aptos" w:hAnsi="Aptos" w:cs="Arial"/>
                <w:color w:val="2F5496" w:themeColor="accent5" w:themeShade="BF"/>
                <w:sz w:val="24"/>
                <w:szCs w:val="24"/>
              </w:rPr>
            </w:pPr>
            <w:r w:rsidRPr="000A61E2">
              <w:rPr>
                <w:rFonts w:ascii="Aptos" w:hAnsi="Aptos" w:cs="Arial"/>
                <w:color w:val="2F5496" w:themeColor="accent5" w:themeShade="BF"/>
                <w:sz w:val="24"/>
                <w:szCs w:val="24"/>
              </w:rPr>
              <w:t>An AI-enabled search too that delivers fast summarised answers across all DVA websites.</w:t>
            </w:r>
          </w:p>
          <w:p w14:paraId="0CAA3E5B" w14:textId="77777777" w:rsidR="00C44CA6" w:rsidRPr="000A61E2" w:rsidRDefault="00C44CA6" w:rsidP="00C44CA6">
            <w:pPr>
              <w:rPr>
                <w:rFonts w:ascii="Aptos" w:hAnsi="Aptos" w:cs="Arial"/>
                <w:color w:val="2F5496" w:themeColor="accent5" w:themeShade="BF"/>
                <w:sz w:val="24"/>
                <w:szCs w:val="24"/>
              </w:rPr>
            </w:pPr>
          </w:p>
          <w:p w14:paraId="16B15E3F" w14:textId="78FF8CF7" w:rsidR="00093437" w:rsidRPr="000A61E2" w:rsidRDefault="00C44CA6" w:rsidP="00F32C6D">
            <w:pPr>
              <w:rPr>
                <w:rFonts w:ascii="Aptos" w:hAnsi="Aptos"/>
                <w:color w:val="2F5496" w:themeColor="accent5" w:themeShade="BF"/>
                <w:sz w:val="24"/>
                <w:szCs w:val="24"/>
              </w:rPr>
            </w:pPr>
            <w:r w:rsidRPr="000A61E2">
              <w:rPr>
                <w:rFonts w:ascii="Aptos" w:hAnsi="Aptos" w:cs="Arial"/>
                <w:color w:val="2F5496" w:themeColor="accent5" w:themeShade="BF"/>
                <w:sz w:val="24"/>
                <w:szCs w:val="24"/>
              </w:rPr>
              <w:t xml:space="preserve">We encourage providers to use the new website to access streamlined content on the Community Nursing Program by going to: </w:t>
            </w:r>
            <w:hyperlink r:id="rId24" w:history="1">
              <w:r w:rsidRPr="000A61E2">
                <w:rPr>
                  <w:rStyle w:val="Hyperlink"/>
                  <w:rFonts w:ascii="Aptos" w:hAnsi="Aptos"/>
                  <w:sz w:val="24"/>
                  <w:szCs w:val="24"/>
                </w:rPr>
                <w:t>www.dva.gov.au</w:t>
              </w:r>
            </w:hyperlink>
            <w:r w:rsidRPr="000A61E2">
              <w:rPr>
                <w:rFonts w:ascii="Aptos" w:hAnsi="Aptos" w:cs="Arial"/>
                <w:color w:val="2F5496" w:themeColor="accent5" w:themeShade="BF"/>
                <w:sz w:val="24"/>
                <w:szCs w:val="24"/>
              </w:rPr>
              <w:t xml:space="preserve">  &gt; Menu &gt; Providers. Community nursing services and providers (</w:t>
            </w:r>
            <w:hyperlink r:id="rId25" w:history="1">
              <w:r w:rsidRPr="000A61E2">
                <w:rPr>
                  <w:rStyle w:val="Hyperlink"/>
                  <w:rFonts w:ascii="Aptos" w:hAnsi="Aptos"/>
                  <w:sz w:val="24"/>
                  <w:szCs w:val="24"/>
                </w:rPr>
                <w:t>Community nursing services and providers | Department of Veterans' Affairs</w:t>
              </w:r>
            </w:hyperlink>
            <w:r w:rsidRPr="000A61E2">
              <w:rPr>
                <w:rFonts w:ascii="Aptos" w:hAnsi="Aptos"/>
                <w:color w:val="2F5496" w:themeColor="accent5" w:themeShade="BF"/>
                <w:sz w:val="24"/>
                <w:szCs w:val="24"/>
              </w:rPr>
              <w:t>).</w:t>
            </w:r>
          </w:p>
          <w:p w14:paraId="5D3FD0F4" w14:textId="336D0A09" w:rsidR="00F32C6D" w:rsidRPr="000A61E2" w:rsidRDefault="00F32C6D" w:rsidP="00F32C6D">
            <w:pPr>
              <w:rPr>
                <w:rFonts w:ascii="Aptos" w:hAnsi="Aptos" w:cs="Arial"/>
                <w:color w:val="002060"/>
                <w:sz w:val="24"/>
                <w:szCs w:val="24"/>
              </w:rPr>
            </w:pPr>
          </w:p>
        </w:tc>
      </w:tr>
    </w:tbl>
    <w:p w14:paraId="584D71C4" w14:textId="5355AAF4" w:rsidR="00C0740B" w:rsidRPr="009C2CD4" w:rsidRDefault="00C0740B" w:rsidP="009C2CD4">
      <w:pPr>
        <w:spacing w:after="0" w:line="240" w:lineRule="auto"/>
        <w:rPr>
          <w:rFonts w:ascii="Aptos" w:hAnsi="Aptos"/>
          <w:sz w:val="16"/>
          <w:szCs w:val="16"/>
        </w:rPr>
      </w:pPr>
    </w:p>
    <w:sectPr w:rsidR="00C0740B" w:rsidRPr="009C2CD4"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10D2" w14:textId="77777777" w:rsidR="009C2CD4" w:rsidRDefault="009C2CD4" w:rsidP="009C2CD4">
      <w:pPr>
        <w:spacing w:after="0" w:line="240" w:lineRule="auto"/>
      </w:pPr>
      <w:r>
        <w:separator/>
      </w:r>
    </w:p>
  </w:endnote>
  <w:endnote w:type="continuationSeparator" w:id="0">
    <w:p w14:paraId="07B6BA52" w14:textId="77777777" w:rsidR="009C2CD4" w:rsidRDefault="009C2CD4" w:rsidP="009C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4834" w14:textId="77777777" w:rsidR="009C2CD4" w:rsidRDefault="009C2CD4" w:rsidP="009C2CD4">
      <w:pPr>
        <w:spacing w:after="0" w:line="240" w:lineRule="auto"/>
      </w:pPr>
      <w:r>
        <w:separator/>
      </w:r>
    </w:p>
  </w:footnote>
  <w:footnote w:type="continuationSeparator" w:id="0">
    <w:p w14:paraId="17ABFE26" w14:textId="77777777" w:rsidR="009C2CD4" w:rsidRDefault="009C2CD4" w:rsidP="009C2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C0E"/>
    <w:multiLevelType w:val="hybridMultilevel"/>
    <w:tmpl w:val="7B04B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74086"/>
    <w:multiLevelType w:val="hybridMultilevel"/>
    <w:tmpl w:val="F3DCD9B8"/>
    <w:lvl w:ilvl="0" w:tplc="FE4E90B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A457B"/>
    <w:multiLevelType w:val="hybridMultilevel"/>
    <w:tmpl w:val="95D45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9E3283"/>
    <w:multiLevelType w:val="hybridMultilevel"/>
    <w:tmpl w:val="00F03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6D3DC3"/>
    <w:multiLevelType w:val="hybridMultilevel"/>
    <w:tmpl w:val="59385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647530"/>
    <w:multiLevelType w:val="hybridMultilevel"/>
    <w:tmpl w:val="14C414A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796DB7"/>
    <w:multiLevelType w:val="hybridMultilevel"/>
    <w:tmpl w:val="520CE8BA"/>
    <w:lvl w:ilvl="0" w:tplc="0C090001">
      <w:start w:val="1"/>
      <w:numFmt w:val="bullet"/>
      <w:lvlText w:val=""/>
      <w:lvlJc w:val="left"/>
      <w:pPr>
        <w:ind w:left="642" w:hanging="360"/>
      </w:pPr>
      <w:rPr>
        <w:rFonts w:ascii="Symbol" w:hAnsi="Symbol" w:hint="default"/>
      </w:rPr>
    </w:lvl>
    <w:lvl w:ilvl="1" w:tplc="0C090003">
      <w:start w:val="1"/>
      <w:numFmt w:val="bullet"/>
      <w:lvlText w:val="o"/>
      <w:lvlJc w:val="left"/>
      <w:pPr>
        <w:ind w:left="1362" w:hanging="360"/>
      </w:pPr>
      <w:rPr>
        <w:rFonts w:ascii="Courier New" w:hAnsi="Courier New" w:cs="Courier New" w:hint="default"/>
      </w:rPr>
    </w:lvl>
    <w:lvl w:ilvl="2" w:tplc="0C090003">
      <w:start w:val="1"/>
      <w:numFmt w:val="bullet"/>
      <w:lvlText w:val="o"/>
      <w:lvlJc w:val="left"/>
      <w:pPr>
        <w:ind w:left="2082" w:hanging="360"/>
      </w:pPr>
      <w:rPr>
        <w:rFonts w:ascii="Courier New" w:hAnsi="Courier New" w:cs="Courier New" w:hint="default"/>
      </w:rPr>
    </w:lvl>
    <w:lvl w:ilvl="3" w:tplc="0C090001">
      <w:start w:val="1"/>
      <w:numFmt w:val="bullet"/>
      <w:lvlText w:val=""/>
      <w:lvlJc w:val="left"/>
      <w:pPr>
        <w:ind w:left="2802" w:hanging="360"/>
      </w:pPr>
      <w:rPr>
        <w:rFonts w:ascii="Symbol" w:hAnsi="Symbol" w:hint="default"/>
      </w:rPr>
    </w:lvl>
    <w:lvl w:ilvl="4" w:tplc="0C090003">
      <w:start w:val="1"/>
      <w:numFmt w:val="bullet"/>
      <w:lvlText w:val="o"/>
      <w:lvlJc w:val="left"/>
      <w:pPr>
        <w:ind w:left="3522" w:hanging="360"/>
      </w:pPr>
      <w:rPr>
        <w:rFonts w:ascii="Courier New" w:hAnsi="Courier New" w:cs="Courier New" w:hint="default"/>
      </w:rPr>
    </w:lvl>
    <w:lvl w:ilvl="5" w:tplc="0C090005">
      <w:start w:val="1"/>
      <w:numFmt w:val="bullet"/>
      <w:lvlText w:val=""/>
      <w:lvlJc w:val="left"/>
      <w:pPr>
        <w:ind w:left="4242" w:hanging="360"/>
      </w:pPr>
      <w:rPr>
        <w:rFonts w:ascii="Wingdings" w:hAnsi="Wingdings" w:hint="default"/>
      </w:rPr>
    </w:lvl>
    <w:lvl w:ilvl="6" w:tplc="0C090001">
      <w:start w:val="1"/>
      <w:numFmt w:val="bullet"/>
      <w:lvlText w:val=""/>
      <w:lvlJc w:val="left"/>
      <w:pPr>
        <w:ind w:left="4962" w:hanging="360"/>
      </w:pPr>
      <w:rPr>
        <w:rFonts w:ascii="Symbol" w:hAnsi="Symbol" w:hint="default"/>
      </w:rPr>
    </w:lvl>
    <w:lvl w:ilvl="7" w:tplc="0C090003">
      <w:start w:val="1"/>
      <w:numFmt w:val="bullet"/>
      <w:lvlText w:val="o"/>
      <w:lvlJc w:val="left"/>
      <w:pPr>
        <w:ind w:left="5682" w:hanging="360"/>
      </w:pPr>
      <w:rPr>
        <w:rFonts w:ascii="Courier New" w:hAnsi="Courier New" w:cs="Courier New" w:hint="default"/>
      </w:rPr>
    </w:lvl>
    <w:lvl w:ilvl="8" w:tplc="0C090005">
      <w:start w:val="1"/>
      <w:numFmt w:val="bullet"/>
      <w:lvlText w:val=""/>
      <w:lvlJc w:val="left"/>
      <w:pPr>
        <w:ind w:left="6402" w:hanging="360"/>
      </w:pPr>
      <w:rPr>
        <w:rFonts w:ascii="Wingdings" w:hAnsi="Wingdings" w:hint="default"/>
      </w:rPr>
    </w:lvl>
  </w:abstractNum>
  <w:abstractNum w:abstractNumId="11" w15:restartNumberingAfterBreak="0">
    <w:nsid w:val="66CD17EC"/>
    <w:multiLevelType w:val="hybridMultilevel"/>
    <w:tmpl w:val="C5F49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35070214">
    <w:abstractNumId w:val="9"/>
  </w:num>
  <w:num w:numId="2" w16cid:durableId="1618563254">
    <w:abstractNumId w:val="6"/>
  </w:num>
  <w:num w:numId="3" w16cid:durableId="273753203">
    <w:abstractNumId w:val="1"/>
  </w:num>
  <w:num w:numId="4" w16cid:durableId="471682491">
    <w:abstractNumId w:val="8"/>
  </w:num>
  <w:num w:numId="5" w16cid:durableId="441732621">
    <w:abstractNumId w:val="0"/>
  </w:num>
  <w:num w:numId="6" w16cid:durableId="868031479">
    <w:abstractNumId w:val="10"/>
  </w:num>
  <w:num w:numId="7" w16cid:durableId="1826241920">
    <w:abstractNumId w:val="5"/>
  </w:num>
  <w:num w:numId="8" w16cid:durableId="1477338372">
    <w:abstractNumId w:val="3"/>
  </w:num>
  <w:num w:numId="9" w16cid:durableId="252513117">
    <w:abstractNumId w:val="4"/>
  </w:num>
  <w:num w:numId="10" w16cid:durableId="1994095894">
    <w:abstractNumId w:val="2"/>
  </w:num>
  <w:num w:numId="11" w16cid:durableId="1995719415">
    <w:abstractNumId w:val="7"/>
  </w:num>
  <w:num w:numId="12" w16cid:durableId="855922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24505"/>
    <w:rsid w:val="00034C58"/>
    <w:rsid w:val="00035BB5"/>
    <w:rsid w:val="00057AA8"/>
    <w:rsid w:val="00093437"/>
    <w:rsid w:val="0009400E"/>
    <w:rsid w:val="000A61E2"/>
    <w:rsid w:val="000A69E8"/>
    <w:rsid w:val="000C1DAF"/>
    <w:rsid w:val="000D3126"/>
    <w:rsid w:val="000D31AD"/>
    <w:rsid w:val="000D5D6D"/>
    <w:rsid w:val="000D6ACA"/>
    <w:rsid w:val="000E428B"/>
    <w:rsid w:val="000F1FF0"/>
    <w:rsid w:val="0011292D"/>
    <w:rsid w:val="0012303C"/>
    <w:rsid w:val="001264B8"/>
    <w:rsid w:val="001320A0"/>
    <w:rsid w:val="00132D4F"/>
    <w:rsid w:val="00136D1D"/>
    <w:rsid w:val="00143B01"/>
    <w:rsid w:val="001465AB"/>
    <w:rsid w:val="0016548F"/>
    <w:rsid w:val="00171C91"/>
    <w:rsid w:val="001849FD"/>
    <w:rsid w:val="00193063"/>
    <w:rsid w:val="001A22A2"/>
    <w:rsid w:val="001A38B5"/>
    <w:rsid w:val="001B78B3"/>
    <w:rsid w:val="001D5349"/>
    <w:rsid w:val="001D78EC"/>
    <w:rsid w:val="001E352A"/>
    <w:rsid w:val="001F350F"/>
    <w:rsid w:val="00222E16"/>
    <w:rsid w:val="0022426A"/>
    <w:rsid w:val="002252BD"/>
    <w:rsid w:val="0024329A"/>
    <w:rsid w:val="0025103D"/>
    <w:rsid w:val="00255D89"/>
    <w:rsid w:val="002A4B72"/>
    <w:rsid w:val="002A6132"/>
    <w:rsid w:val="002A78B2"/>
    <w:rsid w:val="002C181B"/>
    <w:rsid w:val="002D39DA"/>
    <w:rsid w:val="002E17BC"/>
    <w:rsid w:val="002F1513"/>
    <w:rsid w:val="003016AF"/>
    <w:rsid w:val="00305D27"/>
    <w:rsid w:val="00324B3C"/>
    <w:rsid w:val="00383E13"/>
    <w:rsid w:val="003A047F"/>
    <w:rsid w:val="003A1BB5"/>
    <w:rsid w:val="003B2965"/>
    <w:rsid w:val="003B7412"/>
    <w:rsid w:val="003C05D8"/>
    <w:rsid w:val="003C2354"/>
    <w:rsid w:val="003C7281"/>
    <w:rsid w:val="003C74B3"/>
    <w:rsid w:val="003D104D"/>
    <w:rsid w:val="003E403E"/>
    <w:rsid w:val="003E4EFB"/>
    <w:rsid w:val="003F5A07"/>
    <w:rsid w:val="00402BB5"/>
    <w:rsid w:val="00402FFC"/>
    <w:rsid w:val="0041494F"/>
    <w:rsid w:val="0041658F"/>
    <w:rsid w:val="004400B3"/>
    <w:rsid w:val="00442192"/>
    <w:rsid w:val="00452685"/>
    <w:rsid w:val="00456DD1"/>
    <w:rsid w:val="004836DF"/>
    <w:rsid w:val="00487851"/>
    <w:rsid w:val="00492FA1"/>
    <w:rsid w:val="004B2C92"/>
    <w:rsid w:val="004B469A"/>
    <w:rsid w:val="004C611E"/>
    <w:rsid w:val="004D451F"/>
    <w:rsid w:val="004E31C3"/>
    <w:rsid w:val="00511300"/>
    <w:rsid w:val="00513141"/>
    <w:rsid w:val="00514211"/>
    <w:rsid w:val="00514406"/>
    <w:rsid w:val="00523F9D"/>
    <w:rsid w:val="00530FFD"/>
    <w:rsid w:val="00536FF5"/>
    <w:rsid w:val="00581723"/>
    <w:rsid w:val="0058577D"/>
    <w:rsid w:val="00591F33"/>
    <w:rsid w:val="00593CFD"/>
    <w:rsid w:val="005A292B"/>
    <w:rsid w:val="005A4765"/>
    <w:rsid w:val="005B0F5E"/>
    <w:rsid w:val="005B198E"/>
    <w:rsid w:val="005B19F4"/>
    <w:rsid w:val="005C4878"/>
    <w:rsid w:val="005E0809"/>
    <w:rsid w:val="005E18DB"/>
    <w:rsid w:val="005E1DF8"/>
    <w:rsid w:val="005E3F7C"/>
    <w:rsid w:val="005F1B1E"/>
    <w:rsid w:val="005F22AA"/>
    <w:rsid w:val="00607EFA"/>
    <w:rsid w:val="00626AF9"/>
    <w:rsid w:val="00626DC5"/>
    <w:rsid w:val="00637F1D"/>
    <w:rsid w:val="006413CD"/>
    <w:rsid w:val="00644953"/>
    <w:rsid w:val="0065541B"/>
    <w:rsid w:val="00655D02"/>
    <w:rsid w:val="00662FEB"/>
    <w:rsid w:val="00687720"/>
    <w:rsid w:val="006C0655"/>
    <w:rsid w:val="006E220C"/>
    <w:rsid w:val="006F6FD9"/>
    <w:rsid w:val="00702C64"/>
    <w:rsid w:val="007175CF"/>
    <w:rsid w:val="007262B4"/>
    <w:rsid w:val="00730AB0"/>
    <w:rsid w:val="00741C0A"/>
    <w:rsid w:val="0075208A"/>
    <w:rsid w:val="0075726A"/>
    <w:rsid w:val="00760E23"/>
    <w:rsid w:val="00764853"/>
    <w:rsid w:val="0078291D"/>
    <w:rsid w:val="0079527A"/>
    <w:rsid w:val="007A06EE"/>
    <w:rsid w:val="007A5BB1"/>
    <w:rsid w:val="007C0EAC"/>
    <w:rsid w:val="007C2981"/>
    <w:rsid w:val="007D1BFE"/>
    <w:rsid w:val="00802392"/>
    <w:rsid w:val="00832F82"/>
    <w:rsid w:val="0084570C"/>
    <w:rsid w:val="00852189"/>
    <w:rsid w:val="00877212"/>
    <w:rsid w:val="008875D4"/>
    <w:rsid w:val="00893299"/>
    <w:rsid w:val="008B0B57"/>
    <w:rsid w:val="008C7EEF"/>
    <w:rsid w:val="008D71B0"/>
    <w:rsid w:val="008E5005"/>
    <w:rsid w:val="008F596B"/>
    <w:rsid w:val="008F73E7"/>
    <w:rsid w:val="008F7FA4"/>
    <w:rsid w:val="00902B76"/>
    <w:rsid w:val="0090703A"/>
    <w:rsid w:val="0090736B"/>
    <w:rsid w:val="00914285"/>
    <w:rsid w:val="0091560E"/>
    <w:rsid w:val="009224DD"/>
    <w:rsid w:val="00923800"/>
    <w:rsid w:val="00931014"/>
    <w:rsid w:val="00976C67"/>
    <w:rsid w:val="00986C78"/>
    <w:rsid w:val="009C2CD4"/>
    <w:rsid w:val="009E25A2"/>
    <w:rsid w:val="009F777E"/>
    <w:rsid w:val="00A0024C"/>
    <w:rsid w:val="00A0523D"/>
    <w:rsid w:val="00A15AE3"/>
    <w:rsid w:val="00A24E05"/>
    <w:rsid w:val="00A514FB"/>
    <w:rsid w:val="00A52D59"/>
    <w:rsid w:val="00A55C38"/>
    <w:rsid w:val="00A55EC9"/>
    <w:rsid w:val="00A56B97"/>
    <w:rsid w:val="00A63A01"/>
    <w:rsid w:val="00A71CAB"/>
    <w:rsid w:val="00A87B14"/>
    <w:rsid w:val="00A972BF"/>
    <w:rsid w:val="00AD021C"/>
    <w:rsid w:val="00AE1643"/>
    <w:rsid w:val="00AE339C"/>
    <w:rsid w:val="00AE7E1F"/>
    <w:rsid w:val="00AF6BD6"/>
    <w:rsid w:val="00B16577"/>
    <w:rsid w:val="00B1782D"/>
    <w:rsid w:val="00B21C17"/>
    <w:rsid w:val="00B33395"/>
    <w:rsid w:val="00B40263"/>
    <w:rsid w:val="00B4296F"/>
    <w:rsid w:val="00B51FB9"/>
    <w:rsid w:val="00B53DF0"/>
    <w:rsid w:val="00B72FA0"/>
    <w:rsid w:val="00B76C3F"/>
    <w:rsid w:val="00B8450B"/>
    <w:rsid w:val="00B947A7"/>
    <w:rsid w:val="00BA40FC"/>
    <w:rsid w:val="00BB2CB3"/>
    <w:rsid w:val="00BC43A8"/>
    <w:rsid w:val="00BD0058"/>
    <w:rsid w:val="00BD1E0D"/>
    <w:rsid w:val="00BF1725"/>
    <w:rsid w:val="00BF40EB"/>
    <w:rsid w:val="00C04265"/>
    <w:rsid w:val="00C0740B"/>
    <w:rsid w:val="00C14BE0"/>
    <w:rsid w:val="00C15C28"/>
    <w:rsid w:val="00C164BF"/>
    <w:rsid w:val="00C44CA6"/>
    <w:rsid w:val="00C4757B"/>
    <w:rsid w:val="00C51A76"/>
    <w:rsid w:val="00C5539D"/>
    <w:rsid w:val="00C57693"/>
    <w:rsid w:val="00C61DFB"/>
    <w:rsid w:val="00C76015"/>
    <w:rsid w:val="00C8311D"/>
    <w:rsid w:val="00C85C6B"/>
    <w:rsid w:val="00C87A15"/>
    <w:rsid w:val="00CA69B3"/>
    <w:rsid w:val="00CE16FD"/>
    <w:rsid w:val="00CE1712"/>
    <w:rsid w:val="00CE60E1"/>
    <w:rsid w:val="00D0231D"/>
    <w:rsid w:val="00D111EE"/>
    <w:rsid w:val="00D32889"/>
    <w:rsid w:val="00D32C82"/>
    <w:rsid w:val="00D63527"/>
    <w:rsid w:val="00D638DD"/>
    <w:rsid w:val="00D77D96"/>
    <w:rsid w:val="00D835C5"/>
    <w:rsid w:val="00DC1D9D"/>
    <w:rsid w:val="00DD6F0B"/>
    <w:rsid w:val="00E059D0"/>
    <w:rsid w:val="00E147CC"/>
    <w:rsid w:val="00E216F8"/>
    <w:rsid w:val="00E220B7"/>
    <w:rsid w:val="00E22A42"/>
    <w:rsid w:val="00E308A9"/>
    <w:rsid w:val="00E34397"/>
    <w:rsid w:val="00E6085A"/>
    <w:rsid w:val="00E8389D"/>
    <w:rsid w:val="00EA610F"/>
    <w:rsid w:val="00EA75E0"/>
    <w:rsid w:val="00ED65B1"/>
    <w:rsid w:val="00EE3826"/>
    <w:rsid w:val="00F00C6F"/>
    <w:rsid w:val="00F1082A"/>
    <w:rsid w:val="00F14402"/>
    <w:rsid w:val="00F15500"/>
    <w:rsid w:val="00F25652"/>
    <w:rsid w:val="00F3209F"/>
    <w:rsid w:val="00F32C6D"/>
    <w:rsid w:val="00F46C9B"/>
    <w:rsid w:val="00F46D0B"/>
    <w:rsid w:val="00F5243C"/>
    <w:rsid w:val="00F55403"/>
    <w:rsid w:val="00F6717E"/>
    <w:rsid w:val="00F9136C"/>
    <w:rsid w:val="00F92B9F"/>
    <w:rsid w:val="00FB1F13"/>
    <w:rsid w:val="00FC1644"/>
    <w:rsid w:val="00FD294D"/>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24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character" w:styleId="UnresolvedMention">
    <w:name w:val="Unresolved Mention"/>
    <w:basedOn w:val="DefaultParagraphFont"/>
    <w:uiPriority w:val="99"/>
    <w:semiHidden/>
    <w:unhideWhenUsed/>
    <w:rsid w:val="00C4757B"/>
    <w:rPr>
      <w:color w:val="605E5C"/>
      <w:shd w:val="clear" w:color="auto" w:fill="E1DFDD"/>
    </w:rPr>
  </w:style>
  <w:style w:type="paragraph" w:styleId="Revision">
    <w:name w:val="Revision"/>
    <w:hidden/>
    <w:uiPriority w:val="99"/>
    <w:semiHidden/>
    <w:rsid w:val="00057AA8"/>
    <w:pPr>
      <w:spacing w:after="0" w:line="240" w:lineRule="auto"/>
    </w:pPr>
  </w:style>
  <w:style w:type="paragraph" w:styleId="Header">
    <w:name w:val="header"/>
    <w:basedOn w:val="Normal"/>
    <w:link w:val="HeaderChar"/>
    <w:uiPriority w:val="99"/>
    <w:unhideWhenUsed/>
    <w:rsid w:val="009C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CD4"/>
  </w:style>
  <w:style w:type="paragraph" w:styleId="Footer">
    <w:name w:val="footer"/>
    <w:basedOn w:val="Normal"/>
    <w:link w:val="FooterChar"/>
    <w:uiPriority w:val="99"/>
    <w:unhideWhenUsed/>
    <w:rsid w:val="009C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99620">
      <w:bodyDiv w:val="1"/>
      <w:marLeft w:val="0"/>
      <w:marRight w:val="0"/>
      <w:marTop w:val="0"/>
      <w:marBottom w:val="0"/>
      <w:divBdr>
        <w:top w:val="none" w:sz="0" w:space="0" w:color="auto"/>
        <w:left w:val="none" w:sz="0" w:space="0" w:color="auto"/>
        <w:bottom w:val="none" w:sz="0" w:space="0" w:color="auto"/>
        <w:right w:val="none" w:sz="0" w:space="0" w:color="auto"/>
      </w:divBdr>
    </w:div>
    <w:div w:id="649331558">
      <w:bodyDiv w:val="1"/>
      <w:marLeft w:val="0"/>
      <w:marRight w:val="0"/>
      <w:marTop w:val="0"/>
      <w:marBottom w:val="0"/>
      <w:divBdr>
        <w:top w:val="none" w:sz="0" w:space="0" w:color="auto"/>
        <w:left w:val="none" w:sz="0" w:space="0" w:color="auto"/>
        <w:bottom w:val="none" w:sz="0" w:space="0" w:color="auto"/>
        <w:right w:val="none" w:sz="0" w:space="0" w:color="auto"/>
      </w:divBdr>
    </w:div>
    <w:div w:id="938752676">
      <w:bodyDiv w:val="1"/>
      <w:marLeft w:val="0"/>
      <w:marRight w:val="0"/>
      <w:marTop w:val="0"/>
      <w:marBottom w:val="0"/>
      <w:divBdr>
        <w:top w:val="none" w:sz="0" w:space="0" w:color="auto"/>
        <w:left w:val="none" w:sz="0" w:space="0" w:color="auto"/>
        <w:bottom w:val="none" w:sz="0" w:space="0" w:color="auto"/>
        <w:right w:val="none" w:sz="0" w:space="0" w:color="auto"/>
      </w:divBdr>
    </w:div>
    <w:div w:id="1163735215">
      <w:bodyDiv w:val="1"/>
      <w:marLeft w:val="0"/>
      <w:marRight w:val="0"/>
      <w:marTop w:val="0"/>
      <w:marBottom w:val="0"/>
      <w:divBdr>
        <w:top w:val="none" w:sz="0" w:space="0" w:color="auto"/>
        <w:left w:val="none" w:sz="0" w:space="0" w:color="auto"/>
        <w:bottom w:val="none" w:sz="0" w:space="0" w:color="auto"/>
        <w:right w:val="none" w:sz="0" w:space="0" w:color="auto"/>
      </w:divBdr>
    </w:div>
    <w:div w:id="1236625194">
      <w:bodyDiv w:val="1"/>
      <w:marLeft w:val="0"/>
      <w:marRight w:val="0"/>
      <w:marTop w:val="0"/>
      <w:marBottom w:val="0"/>
      <w:divBdr>
        <w:top w:val="none" w:sz="0" w:space="0" w:color="auto"/>
        <w:left w:val="none" w:sz="0" w:space="0" w:color="auto"/>
        <w:bottom w:val="none" w:sz="0" w:space="0" w:color="auto"/>
        <w:right w:val="none" w:sz="0" w:space="0" w:color="auto"/>
      </w:divBdr>
    </w:div>
    <w:div w:id="13683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providers/community-nursing-services-and-providers/information-for-dva-contracted-community-nursing-providers" TargetMode="External"/><Relationship Id="rId13" Type="http://schemas.openxmlformats.org/officeDocument/2006/relationships/image" Target="media/image4.jpeg"/><Relationship Id="rId18" Type="http://schemas.openxmlformats.org/officeDocument/2006/relationships/hyperlink" Target="https://www.servicesaustralia.gov.au/mo057?op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CGC877\AppData\Local\Microsoft\Windows\INetCache\Content.Outlook\URWAGYTO\DVA.Sustainability.Payments@dva.gov.au" TargetMode="External"/><Relationship Id="rId7" Type="http://schemas.openxmlformats.org/officeDocument/2006/relationships/image" Target="media/image1.png"/><Relationship Id="rId12" Type="http://schemas.openxmlformats.org/officeDocument/2006/relationships/hyperlink" Target="https://www.byanyothernerd.com/2013/03/when-lightbulb-flickers.html" TargetMode="External"/><Relationship Id="rId17" Type="http://schemas.openxmlformats.org/officeDocument/2006/relationships/hyperlink" Target="mailto:nursing@dva.gov.au" TargetMode="External"/><Relationship Id="rId25" Type="http://schemas.openxmlformats.org/officeDocument/2006/relationships/hyperlink" Target="https://www.dva.gov.au/providers/community-nursing-services-and-providers" TargetMode="External"/><Relationship Id="rId2" Type="http://schemas.openxmlformats.org/officeDocument/2006/relationships/styles" Target="styles.xml"/><Relationship Id="rId16" Type="http://schemas.openxmlformats.org/officeDocument/2006/relationships/hyperlink" Target="mailto:NMBCN@dva.gov.au" TargetMode="External"/><Relationship Id="rId20" Type="http://schemas.openxmlformats.org/officeDocument/2006/relationships/hyperlink" Target="https://www.health.gov.au/topics/aged-care-workforce/what-were-doing/better-and-fairer-wa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dva.gov.au" TargetMode="External"/><Relationship Id="rId5" Type="http://schemas.openxmlformats.org/officeDocument/2006/relationships/footnotes" Target="footnotes.xml"/><Relationship Id="rId15" Type="http://schemas.openxmlformats.org/officeDocument/2006/relationships/hyperlink" Target="mailto:nursing@dva.gov.au" TargetMode="External"/><Relationship Id="rId23" Type="http://schemas.openxmlformats.org/officeDocument/2006/relationships/hyperlink" Target="https://humanability.com.au/news-and-events/news/resources-to-support-career-pathways-in-aged--disability.aspx" TargetMode="External"/><Relationship Id="rId10" Type="http://schemas.openxmlformats.org/officeDocument/2006/relationships/hyperlink" Target="https://pixabay.com/en/mark-green-tick-symbol-sign-35780/" TargetMode="External"/><Relationship Id="rId19" Type="http://schemas.openxmlformats.org/officeDocument/2006/relationships/hyperlink" Target="mailto:veterans.processing@servicesaustralia.gov.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etterhealthwhileaging.net/advance-care-planning-end-of-life/" TargetMode="External"/><Relationship Id="rId22" Type="http://schemas.openxmlformats.org/officeDocument/2006/relationships/hyperlink" Target="file:///C:\Users\CGC877\AppData\Local\Microsoft\Windows\INetCache\Content.Outlook\URWAGYTO\DVA.Sustainability.Payments@dva.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9208</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2025-10-20T03:15:00Z</dcterms:created>
  <dcterms:modified xsi:type="dcterms:W3CDTF">2025-10-20T03:35:00Z</dcterms:modified>
</cp:coreProperties>
</file>