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66D7" w14:textId="77777777" w:rsidR="00CE1AA9" w:rsidRDefault="00CE1AA9" w:rsidP="005B675A">
      <w:pPr>
        <w:tabs>
          <w:tab w:val="right" w:pos="540"/>
        </w:tabs>
        <w:jc w:val="right"/>
        <w:rPr>
          <w:rFonts w:ascii="Arial" w:hAnsi="Arial" w:cs="Arial"/>
          <w:lang w:val="en-US"/>
        </w:rPr>
      </w:pPr>
    </w:p>
    <w:p w14:paraId="34E6FE3A" w14:textId="77777777" w:rsidR="005B675A" w:rsidRDefault="005B675A" w:rsidP="00A11B73">
      <w:pPr>
        <w:tabs>
          <w:tab w:val="right" w:pos="9180"/>
        </w:tabs>
        <w:jc w:val="right"/>
        <w:rPr>
          <w:rFonts w:ascii="Arial" w:hAnsi="Arial" w:cs="Arial"/>
          <w:lang w:val="en-US"/>
        </w:rPr>
      </w:pPr>
    </w:p>
    <w:p w14:paraId="1CB3D2C9" w14:textId="77777777" w:rsidR="005B675A" w:rsidRPr="00D36FCD" w:rsidRDefault="005B675A" w:rsidP="005B675A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szCs w:val="28"/>
        </w:rPr>
      </w:pPr>
      <w:r w:rsidRPr="00D36FCD">
        <w:rPr>
          <w:rFonts w:ascii="Arial" w:hAnsi="Arial"/>
          <w:b/>
          <w:szCs w:val="28"/>
        </w:rPr>
        <w:t>Department of Veterans’ Affairs</w:t>
      </w:r>
    </w:p>
    <w:p w14:paraId="39AA2915" w14:textId="77777777" w:rsidR="005B675A" w:rsidRPr="00D36FCD" w:rsidRDefault="005B675A" w:rsidP="005B675A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23"/>
          <w:szCs w:val="23"/>
        </w:rPr>
      </w:pPr>
      <w:r w:rsidRPr="00D36FCD">
        <w:rPr>
          <w:rFonts w:ascii="Arial" w:hAnsi="Arial"/>
          <w:b/>
          <w:szCs w:val="28"/>
        </w:rPr>
        <w:t>Defence / DVA Links Steering Committee</w:t>
      </w:r>
    </w:p>
    <w:p w14:paraId="4FF6F015" w14:textId="77777777" w:rsidR="005B675A" w:rsidRDefault="005B675A" w:rsidP="005B675A">
      <w:pPr>
        <w:pBdr>
          <w:top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0469D4">
        <w:rPr>
          <w:rFonts w:ascii="Arial" w:hAnsi="Arial" w:cs="Arial"/>
          <w:b/>
          <w:bCs/>
          <w:color w:val="000000"/>
        </w:rPr>
        <w:t>Summary of Meeting – 31 March 2014</w:t>
      </w:r>
    </w:p>
    <w:p w14:paraId="4F652D38" w14:textId="77777777" w:rsidR="00EE40DF" w:rsidRPr="000469D4" w:rsidRDefault="00EE40DF" w:rsidP="005B675A">
      <w:pPr>
        <w:pBdr>
          <w:top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</w:rPr>
      </w:pPr>
    </w:p>
    <w:p w14:paraId="7784A424" w14:textId="77777777" w:rsidR="005B675A" w:rsidRPr="000469D4" w:rsidRDefault="005B675A" w:rsidP="005B675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  <w:r w:rsidRPr="000469D4">
        <w:rPr>
          <w:rFonts w:ascii="Arial" w:hAnsi="Arial" w:cs="Arial"/>
          <w:color w:val="000000"/>
        </w:rPr>
        <w:t>The 30</w:t>
      </w:r>
      <w:r w:rsidRPr="000469D4">
        <w:rPr>
          <w:rFonts w:ascii="Arial" w:hAnsi="Arial" w:cs="Arial"/>
          <w:color w:val="000000"/>
          <w:vertAlign w:val="superscript"/>
        </w:rPr>
        <w:t>th</w:t>
      </w:r>
      <w:r w:rsidRPr="000469D4">
        <w:rPr>
          <w:rFonts w:ascii="Arial" w:hAnsi="Arial" w:cs="Arial"/>
          <w:color w:val="000000"/>
        </w:rPr>
        <w:t xml:space="preserve"> Defence/Department of Veterans’ Affairs (DVA) Links Steering Committee (DLSC) was held in </w:t>
      </w:r>
      <w:smartTag w:uri="urn:schemas-microsoft-com:office:smarttags" w:element="place">
        <w:smartTag w:uri="urn:schemas-microsoft-com:office:smarttags" w:element="City">
          <w:r w:rsidRPr="000469D4">
            <w:rPr>
              <w:rFonts w:ascii="Arial" w:hAnsi="Arial" w:cs="Arial"/>
              <w:color w:val="000000"/>
            </w:rPr>
            <w:t>Canberra</w:t>
          </w:r>
        </w:smartTag>
      </w:smartTag>
      <w:r w:rsidRPr="000469D4">
        <w:rPr>
          <w:rFonts w:ascii="Arial" w:hAnsi="Arial" w:cs="Arial"/>
          <w:color w:val="000000"/>
        </w:rPr>
        <w:t xml:space="preserve"> on 31 March 2014.  The following issues were discussed at the meeting:</w:t>
      </w:r>
    </w:p>
    <w:p w14:paraId="369A0160" w14:textId="77777777" w:rsidR="005B675A" w:rsidRPr="000469D4" w:rsidRDefault="005B675A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0469D4">
        <w:rPr>
          <w:rFonts w:ascii="Arial" w:hAnsi="Arial" w:cs="Arial"/>
          <w:b/>
          <w:sz w:val="24"/>
          <w:szCs w:val="24"/>
          <w:lang w:val="en-AU"/>
        </w:rPr>
        <w:t xml:space="preserve">Support Continuum Performance Report </w:t>
      </w:r>
    </w:p>
    <w:p w14:paraId="4D3382EF" w14:textId="77777777" w:rsidR="005B675A" w:rsidRPr="000469D4" w:rsidRDefault="005B675A" w:rsidP="005B675A">
      <w:pPr>
        <w:pStyle w:val="talkingpoints"/>
        <w:numPr>
          <w:ilvl w:val="0"/>
          <w:numId w:val="7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 xml:space="preserve">The Committee reviewed the February 2014 Support </w:t>
      </w:r>
      <w:r>
        <w:rPr>
          <w:rFonts w:ascii="Arial" w:hAnsi="Arial" w:cs="Arial"/>
          <w:sz w:val="24"/>
          <w:szCs w:val="24"/>
          <w:lang w:val="en-AU"/>
        </w:rPr>
        <w:t>Continuum Performance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Report. </w:t>
      </w:r>
    </w:p>
    <w:p w14:paraId="4C32FA78" w14:textId="77777777" w:rsidR="005B675A" w:rsidRPr="000469D4" w:rsidRDefault="005B675A" w:rsidP="005B675A">
      <w:pPr>
        <w:pStyle w:val="talkingpoints"/>
        <w:numPr>
          <w:ilvl w:val="0"/>
          <w:numId w:val="7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 xml:space="preserve">The Committee </w:t>
      </w:r>
      <w:r>
        <w:rPr>
          <w:rFonts w:ascii="Arial" w:hAnsi="Arial" w:cs="Arial"/>
          <w:sz w:val="24"/>
          <w:szCs w:val="24"/>
          <w:lang w:val="en-AU"/>
        </w:rPr>
        <w:t>acknowledged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the completion of SWIIP Phase 2 and agreed to formally institute </w:t>
      </w:r>
      <w:r>
        <w:rPr>
          <w:rFonts w:ascii="Arial" w:hAnsi="Arial" w:cs="Arial"/>
          <w:sz w:val="24"/>
          <w:szCs w:val="24"/>
          <w:lang w:val="en-AU"/>
        </w:rPr>
        <w:t>a further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program of work </w:t>
      </w:r>
      <w:r>
        <w:rPr>
          <w:rFonts w:ascii="Arial" w:hAnsi="Arial" w:cs="Arial"/>
          <w:sz w:val="24"/>
          <w:szCs w:val="24"/>
          <w:lang w:val="en-AU"/>
        </w:rPr>
        <w:t xml:space="preserve">to be 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known as SWIIP Phase 3. </w:t>
      </w:r>
    </w:p>
    <w:p w14:paraId="5ABF99CB" w14:textId="77777777" w:rsidR="005B675A" w:rsidRPr="000469D4" w:rsidRDefault="005B675A" w:rsidP="005B675A">
      <w:pPr>
        <w:pStyle w:val="talkingpoints"/>
        <w:numPr>
          <w:ilvl w:val="0"/>
          <w:numId w:val="7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 xml:space="preserve">Committee members </w:t>
      </w:r>
      <w:r>
        <w:rPr>
          <w:rFonts w:ascii="Arial" w:hAnsi="Arial" w:cs="Arial"/>
          <w:sz w:val="24"/>
          <w:szCs w:val="24"/>
          <w:lang w:val="en-AU"/>
        </w:rPr>
        <w:t>noted the requirement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to </w:t>
      </w:r>
      <w:r>
        <w:rPr>
          <w:rFonts w:ascii="Arial" w:hAnsi="Arial" w:cs="Arial"/>
          <w:sz w:val="24"/>
          <w:szCs w:val="24"/>
          <w:lang w:val="en-AU"/>
        </w:rPr>
        <w:t>report on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the </w:t>
      </w:r>
      <w:r>
        <w:rPr>
          <w:rFonts w:ascii="Arial" w:hAnsi="Arial" w:cs="Arial"/>
          <w:sz w:val="24"/>
          <w:szCs w:val="24"/>
          <w:lang w:val="en-AU"/>
        </w:rPr>
        <w:t>implementation of Recommendations 13 and 15 as set out in the Government’s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response to the Joint Standing Committee on Foreign Affairs and Trade Report on Care of ADF Personnel Wounded and Injured on Operations. </w:t>
      </w:r>
    </w:p>
    <w:p w14:paraId="037BF68A" w14:textId="77777777" w:rsidR="005B675A" w:rsidRDefault="005B675A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0469D4">
        <w:rPr>
          <w:rFonts w:ascii="Arial" w:hAnsi="Arial" w:cs="Arial"/>
          <w:b/>
          <w:sz w:val="24"/>
          <w:szCs w:val="24"/>
          <w:lang w:val="en-AU"/>
        </w:rPr>
        <w:t>Health Consultative Forum</w:t>
      </w:r>
    </w:p>
    <w:p w14:paraId="45ADADED" w14:textId="77777777" w:rsidR="005B675A" w:rsidRPr="000469D4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 xml:space="preserve">The Departments of Defence and Veterans’ Affairs </w:t>
      </w:r>
      <w:r>
        <w:rPr>
          <w:rFonts w:ascii="Arial" w:hAnsi="Arial" w:cs="Arial"/>
          <w:sz w:val="24"/>
          <w:szCs w:val="24"/>
          <w:lang w:val="en-AU"/>
        </w:rPr>
        <w:t xml:space="preserve">are 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undertaking a significant joint research program. The research is expected to deliver the largest mental health research project ever conducted by </w:t>
      </w:r>
      <w:r>
        <w:rPr>
          <w:rFonts w:ascii="Arial" w:hAnsi="Arial" w:cs="Arial"/>
          <w:sz w:val="24"/>
          <w:szCs w:val="24"/>
          <w:lang w:val="en-AU"/>
        </w:rPr>
        <w:t xml:space="preserve">the 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two Departments. </w:t>
      </w:r>
      <w:r>
        <w:rPr>
          <w:rFonts w:ascii="Arial" w:hAnsi="Arial" w:cs="Arial"/>
          <w:sz w:val="24"/>
          <w:szCs w:val="24"/>
          <w:lang w:val="en-AU"/>
        </w:rPr>
        <w:t xml:space="preserve"> </w:t>
      </w:r>
    </w:p>
    <w:p w14:paraId="32F633DE" w14:textId="77777777" w:rsidR="005B675A" w:rsidRPr="00292B7D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>The studies will also address physical health</w:t>
      </w:r>
      <w:r>
        <w:rPr>
          <w:rFonts w:ascii="Arial" w:hAnsi="Arial" w:cs="Arial"/>
          <w:sz w:val="24"/>
          <w:szCs w:val="24"/>
          <w:lang w:val="en-AU"/>
        </w:rPr>
        <w:t>,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including traumatic brain injury, </w:t>
      </w:r>
      <w:r>
        <w:rPr>
          <w:rFonts w:ascii="Arial" w:hAnsi="Arial" w:cs="Arial"/>
          <w:sz w:val="24"/>
          <w:szCs w:val="24"/>
          <w:lang w:val="en-AU"/>
        </w:rPr>
        <w:t>and Defence family health.</w:t>
      </w:r>
    </w:p>
    <w:p w14:paraId="2A308C2A" w14:textId="77777777" w:rsidR="005B675A" w:rsidRPr="000469D4" w:rsidRDefault="005B675A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0469D4">
        <w:rPr>
          <w:rFonts w:ascii="Arial" w:hAnsi="Arial" w:cs="Arial"/>
          <w:b/>
          <w:sz w:val="24"/>
          <w:szCs w:val="24"/>
          <w:lang w:val="en-AU"/>
        </w:rPr>
        <w:t>Defence Links Research Advisory Committee</w:t>
      </w:r>
    </w:p>
    <w:p w14:paraId="237DE9CC" w14:textId="77777777" w:rsidR="005B675A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 xml:space="preserve">The Committee </w:t>
      </w:r>
      <w:r>
        <w:rPr>
          <w:rFonts w:ascii="Arial" w:hAnsi="Arial" w:cs="Arial"/>
          <w:sz w:val="24"/>
          <w:szCs w:val="24"/>
          <w:lang w:val="en-AU"/>
        </w:rPr>
        <w:t>on the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</w:t>
      </w:r>
      <w:r>
        <w:rPr>
          <w:rFonts w:ascii="Arial" w:hAnsi="Arial" w:cs="Arial"/>
          <w:sz w:val="24"/>
          <w:szCs w:val="24"/>
          <w:lang w:val="en-AU"/>
        </w:rPr>
        <w:t>Defence and DVA research collaboration, including the coordinated strategic research framework, aimed at improving the coordination of veteran and military research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. </w:t>
      </w:r>
      <w:r>
        <w:rPr>
          <w:rFonts w:ascii="Arial" w:hAnsi="Arial" w:cs="Arial"/>
          <w:sz w:val="24"/>
          <w:szCs w:val="24"/>
          <w:lang w:val="en-AU"/>
        </w:rPr>
        <w:t xml:space="preserve"> </w:t>
      </w:r>
    </w:p>
    <w:p w14:paraId="307EF5FA" w14:textId="77777777" w:rsidR="005B675A" w:rsidRPr="000469D4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An update was also provided on a study examining the health and wellbeing of veterans and their families and the impact of service on the health of ADF members; and a longitudinal study into the effects of rehabilitation arrangements within both Defence and DVA.</w:t>
      </w:r>
    </w:p>
    <w:p w14:paraId="11AF3A82" w14:textId="77777777" w:rsidR="005B675A" w:rsidRPr="000469D4" w:rsidRDefault="005B675A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  <w:r>
        <w:rPr>
          <w:rFonts w:ascii="Arial" w:hAnsi="Arial" w:cs="Arial"/>
          <w:b/>
          <w:sz w:val="24"/>
          <w:szCs w:val="24"/>
          <w:lang w:val="en-AU"/>
        </w:rPr>
        <w:t>Defence Familiarisation A</w:t>
      </w:r>
      <w:r w:rsidRPr="000469D4">
        <w:rPr>
          <w:rFonts w:ascii="Arial" w:hAnsi="Arial" w:cs="Arial"/>
          <w:b/>
          <w:sz w:val="24"/>
          <w:szCs w:val="24"/>
          <w:lang w:val="en-AU"/>
        </w:rPr>
        <w:t>ctivities</w:t>
      </w:r>
    </w:p>
    <w:p w14:paraId="0A645A08" w14:textId="77777777" w:rsidR="005B675A" w:rsidRPr="000469D4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 xml:space="preserve">The Committee </w:t>
      </w:r>
      <w:r>
        <w:rPr>
          <w:rFonts w:ascii="Arial" w:hAnsi="Arial" w:cs="Arial"/>
          <w:sz w:val="24"/>
          <w:szCs w:val="24"/>
          <w:lang w:val="en-AU"/>
        </w:rPr>
        <w:t>noted the progress of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a program designed to increase DVA staff awareness of Defence activities. </w:t>
      </w:r>
    </w:p>
    <w:p w14:paraId="46DE9F5A" w14:textId="77777777" w:rsidR="005B675A" w:rsidRPr="000469D4" w:rsidRDefault="005B675A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0469D4">
        <w:rPr>
          <w:rFonts w:ascii="Arial" w:hAnsi="Arial" w:cs="Arial"/>
          <w:b/>
          <w:sz w:val="24"/>
          <w:szCs w:val="24"/>
          <w:lang w:val="en-AU"/>
        </w:rPr>
        <w:t>Defence Notifications to DVA</w:t>
      </w:r>
    </w:p>
    <w:p w14:paraId="65940D3E" w14:textId="77777777" w:rsidR="005B675A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 xml:space="preserve">The Committee </w:t>
      </w:r>
      <w:r>
        <w:rPr>
          <w:rFonts w:ascii="Arial" w:hAnsi="Arial" w:cs="Arial"/>
          <w:sz w:val="24"/>
          <w:szCs w:val="24"/>
          <w:lang w:val="en-AU"/>
        </w:rPr>
        <w:t>noted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the current notification process</w:t>
      </w:r>
      <w:r>
        <w:rPr>
          <w:rFonts w:ascii="Arial" w:hAnsi="Arial" w:cs="Arial"/>
          <w:sz w:val="24"/>
          <w:szCs w:val="24"/>
          <w:lang w:val="en-AU"/>
        </w:rPr>
        <w:t xml:space="preserve"> between the two departments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. </w:t>
      </w:r>
      <w:r>
        <w:rPr>
          <w:rFonts w:ascii="Arial" w:hAnsi="Arial" w:cs="Arial"/>
          <w:sz w:val="24"/>
          <w:szCs w:val="24"/>
          <w:lang w:val="en-AU"/>
        </w:rPr>
        <w:t xml:space="preserve">In addition to receiving FATALCAS (battle and non-battle fatalities) and NOTICAS (serious incidents resulting in a classification of Serious Injury or Very Serious Injury) notifications, DVA is now also receiving notifications when a member is to separate from the ADF on medical grounds or for any reason associated with the use of prohibited substances or the misuse of alcohol.  </w:t>
      </w:r>
    </w:p>
    <w:p w14:paraId="7BCD03A6" w14:textId="77777777" w:rsidR="005B675A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Members transitioning from Defence for reasons other than those noted above are also provided the opportunity to consent to Defence advising DVA of their pending separation.</w:t>
      </w:r>
    </w:p>
    <w:p w14:paraId="0311E860" w14:textId="77777777" w:rsidR="00EE40DF" w:rsidRDefault="00EE40DF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610C6218" w14:textId="77777777" w:rsidR="00EE40DF" w:rsidRDefault="00EE40DF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331C2DE8" w14:textId="77777777" w:rsidR="005B675A" w:rsidRPr="000469D4" w:rsidRDefault="005B675A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0469D4">
        <w:rPr>
          <w:rFonts w:ascii="Arial" w:hAnsi="Arial" w:cs="Arial"/>
          <w:b/>
          <w:sz w:val="24"/>
          <w:szCs w:val="24"/>
          <w:lang w:val="en-AU"/>
        </w:rPr>
        <w:lastRenderedPageBreak/>
        <w:t>Review of DVA In Person Services</w:t>
      </w:r>
    </w:p>
    <w:p w14:paraId="5B19D913" w14:textId="77777777" w:rsidR="005B675A" w:rsidRPr="000469D4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>The Committee received an overview of the review into DVA In Person Services</w:t>
      </w:r>
      <w:r>
        <w:rPr>
          <w:rFonts w:ascii="Arial" w:hAnsi="Arial" w:cs="Arial"/>
          <w:sz w:val="24"/>
          <w:szCs w:val="24"/>
          <w:lang w:val="en-AU"/>
        </w:rPr>
        <w:t xml:space="preserve">, noting there 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was considerable community engagement during the consultation period. </w:t>
      </w:r>
    </w:p>
    <w:p w14:paraId="09A985CC" w14:textId="77777777" w:rsidR="005B675A" w:rsidRPr="000469D4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>The review of DVA In Person Services is not expected to impact current serving members.</w:t>
      </w:r>
    </w:p>
    <w:p w14:paraId="477E990F" w14:textId="77777777" w:rsidR="005B675A" w:rsidRPr="000469D4" w:rsidRDefault="005B675A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0469D4">
        <w:rPr>
          <w:rFonts w:ascii="Arial" w:hAnsi="Arial" w:cs="Arial"/>
          <w:b/>
          <w:sz w:val="24"/>
          <w:szCs w:val="24"/>
          <w:lang w:val="en-AU"/>
        </w:rPr>
        <w:t>ADF Service Women Steering Committee Report</w:t>
      </w:r>
    </w:p>
    <w:p w14:paraId="5EC2A5E5" w14:textId="77777777" w:rsidR="005B675A" w:rsidRPr="000469D4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 xml:space="preserve">The Committee finalised its approach regarding the publication of the joint Defence/DVA response to the ADF Service Women Steering Committee Report. </w:t>
      </w:r>
    </w:p>
    <w:p w14:paraId="6C632D09" w14:textId="77777777" w:rsidR="005B675A" w:rsidRPr="000469D4" w:rsidRDefault="005B675A" w:rsidP="005B675A">
      <w:pPr>
        <w:pStyle w:val="talkingpoints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>The</w:t>
      </w:r>
      <w:r>
        <w:rPr>
          <w:rFonts w:ascii="Arial" w:hAnsi="Arial" w:cs="Arial"/>
          <w:sz w:val="24"/>
          <w:szCs w:val="24"/>
          <w:lang w:val="en-AU"/>
        </w:rPr>
        <w:t xml:space="preserve"> joint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response</w:t>
      </w:r>
      <w:r>
        <w:rPr>
          <w:rFonts w:ascii="Arial" w:hAnsi="Arial" w:cs="Arial"/>
          <w:sz w:val="24"/>
          <w:szCs w:val="24"/>
          <w:lang w:val="en-AU"/>
        </w:rPr>
        <w:t xml:space="preserve"> from DLSC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is expected to </w:t>
      </w:r>
      <w:r>
        <w:rPr>
          <w:rFonts w:ascii="Arial" w:hAnsi="Arial" w:cs="Arial"/>
          <w:sz w:val="24"/>
          <w:szCs w:val="24"/>
          <w:lang w:val="en-AU"/>
        </w:rPr>
        <w:t xml:space="preserve">be 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provided to the Commissioners by </w:t>
      </w:r>
      <w:r>
        <w:rPr>
          <w:rFonts w:ascii="Arial" w:hAnsi="Arial" w:cs="Arial"/>
          <w:sz w:val="24"/>
          <w:szCs w:val="24"/>
          <w:lang w:val="en-AU"/>
        </w:rPr>
        <w:t>June</w:t>
      </w:r>
      <w:r w:rsidRPr="000469D4">
        <w:rPr>
          <w:rFonts w:ascii="Arial" w:hAnsi="Arial" w:cs="Arial"/>
          <w:sz w:val="24"/>
          <w:szCs w:val="24"/>
          <w:lang w:val="en-AU"/>
        </w:rPr>
        <w:t xml:space="preserve"> 2014.</w:t>
      </w:r>
    </w:p>
    <w:p w14:paraId="33C3B339" w14:textId="77777777" w:rsidR="005B675A" w:rsidRPr="000469D4" w:rsidRDefault="005B675A" w:rsidP="00EE40DF">
      <w:pPr>
        <w:pStyle w:val="talkingpoints"/>
        <w:spacing w:before="240" w:after="24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000469D4">
        <w:rPr>
          <w:rFonts w:ascii="Arial" w:hAnsi="Arial" w:cs="Arial"/>
          <w:b/>
          <w:sz w:val="24"/>
          <w:szCs w:val="24"/>
          <w:lang w:val="en-AU"/>
        </w:rPr>
        <w:t>Ongoing Business</w:t>
      </w:r>
    </w:p>
    <w:p w14:paraId="75BF5C68" w14:textId="77777777" w:rsidR="005B675A" w:rsidRPr="000469D4" w:rsidRDefault="005B675A" w:rsidP="005B675A">
      <w:pPr>
        <w:pStyle w:val="talkingpoints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4"/>
          <w:szCs w:val="24"/>
          <w:lang w:val="en-AU"/>
        </w:rPr>
      </w:pPr>
      <w:r w:rsidRPr="000469D4">
        <w:rPr>
          <w:rFonts w:ascii="Arial" w:hAnsi="Arial" w:cs="Arial"/>
          <w:sz w:val="24"/>
          <w:szCs w:val="24"/>
          <w:lang w:val="en-AU"/>
        </w:rPr>
        <w:t>The next meeting will be held on 26 June 2014.</w:t>
      </w:r>
    </w:p>
    <w:p w14:paraId="494905A8" w14:textId="77777777" w:rsidR="005B675A" w:rsidRPr="000469D4" w:rsidRDefault="005B675A" w:rsidP="005B675A"/>
    <w:p w14:paraId="116ACBE3" w14:textId="77777777" w:rsidR="005B675A" w:rsidRDefault="005B675A" w:rsidP="00A11B73">
      <w:pPr>
        <w:tabs>
          <w:tab w:val="right" w:pos="9180"/>
        </w:tabs>
        <w:jc w:val="right"/>
        <w:rPr>
          <w:rFonts w:ascii="Arial" w:hAnsi="Arial" w:cs="Arial"/>
          <w:lang w:val="en-US"/>
        </w:rPr>
      </w:pPr>
    </w:p>
    <w:sectPr w:rsidR="005B675A" w:rsidSect="00FF51BC">
      <w:headerReference w:type="default" r:id="rId8"/>
      <w:headerReference w:type="first" r:id="rId9"/>
      <w:pgSz w:w="11906" w:h="16838" w:code="9"/>
      <w:pgMar w:top="567" w:right="567" w:bottom="567" w:left="567" w:header="28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142F" w14:textId="77777777" w:rsidR="006026F6" w:rsidRDefault="006026F6">
      <w:r>
        <w:separator/>
      </w:r>
    </w:p>
  </w:endnote>
  <w:endnote w:type="continuationSeparator" w:id="0">
    <w:p w14:paraId="5F246038" w14:textId="77777777" w:rsidR="006026F6" w:rsidRDefault="0060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35 Thi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7F75" w14:textId="77777777" w:rsidR="006026F6" w:rsidRDefault="006026F6">
      <w:r>
        <w:separator/>
      </w:r>
    </w:p>
  </w:footnote>
  <w:footnote w:type="continuationSeparator" w:id="0">
    <w:p w14:paraId="0442A9B9" w14:textId="77777777" w:rsidR="006026F6" w:rsidRDefault="0060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243A" w14:textId="77777777" w:rsidR="002D12EB" w:rsidRDefault="002D12EB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- </w:t>
    </w: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>
      <w:rPr>
        <w:rStyle w:val="PageNumber"/>
        <w:rFonts w:ascii="Times New Roman" w:hAnsi="Times New Roman"/>
        <w:sz w:val="20"/>
      </w:rPr>
      <w:fldChar w:fldCharType="separate"/>
    </w:r>
    <w:r w:rsidR="00462227">
      <w:rPr>
        <w:rStyle w:val="PageNumber"/>
        <w:rFonts w:ascii="Times New Roman" w:hAnsi="Times New Roman"/>
        <w:noProof/>
        <w:sz w:val="20"/>
      </w:rPr>
      <w:t>2</w:t>
    </w:r>
    <w:r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7A5F" w14:textId="77777777" w:rsidR="002D12EB" w:rsidRDefault="002D12EB">
    <w:pPr>
      <w:pStyle w:val="Header"/>
      <w:tabs>
        <w:tab w:val="clear" w:pos="830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2"/>
    <w:multiLevelType w:val="hybridMultilevel"/>
    <w:tmpl w:val="6368E4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26F"/>
    <w:multiLevelType w:val="hybridMultilevel"/>
    <w:tmpl w:val="90EE773A"/>
    <w:lvl w:ilvl="0" w:tplc="78943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2" w15:restartNumberingAfterBreak="0">
    <w:nsid w:val="21D34F34"/>
    <w:multiLevelType w:val="hybridMultilevel"/>
    <w:tmpl w:val="A2A2A114"/>
    <w:lvl w:ilvl="0" w:tplc="CA8A83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05477C8"/>
    <w:multiLevelType w:val="hybridMultilevel"/>
    <w:tmpl w:val="F5B029CC"/>
    <w:lvl w:ilvl="0" w:tplc="B78861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51D21"/>
    <w:multiLevelType w:val="hybridMultilevel"/>
    <w:tmpl w:val="62549962"/>
    <w:lvl w:ilvl="0" w:tplc="78943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5" w15:restartNumberingAfterBreak="0">
    <w:nsid w:val="689A2F58"/>
    <w:multiLevelType w:val="hybridMultilevel"/>
    <w:tmpl w:val="01768A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84701"/>
    <w:multiLevelType w:val="hybridMultilevel"/>
    <w:tmpl w:val="49465922"/>
    <w:lvl w:ilvl="0" w:tplc="D6109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6E6A18A7"/>
    <w:multiLevelType w:val="hybridMultilevel"/>
    <w:tmpl w:val="F43C2C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5C4F8E"/>
    <w:multiLevelType w:val="hybridMultilevel"/>
    <w:tmpl w:val="B2D894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887319">
    <w:abstractNumId w:val="3"/>
  </w:num>
  <w:num w:numId="2" w16cid:durableId="1125655473">
    <w:abstractNumId w:val="1"/>
  </w:num>
  <w:num w:numId="3" w16cid:durableId="1663893845">
    <w:abstractNumId w:val="4"/>
  </w:num>
  <w:num w:numId="4" w16cid:durableId="1083144888">
    <w:abstractNumId w:val="5"/>
  </w:num>
  <w:num w:numId="5" w16cid:durableId="939607575">
    <w:abstractNumId w:val="2"/>
  </w:num>
  <w:num w:numId="6" w16cid:durableId="828012301">
    <w:abstractNumId w:val="6"/>
  </w:num>
  <w:num w:numId="7" w16cid:durableId="308364005">
    <w:abstractNumId w:val="0"/>
  </w:num>
  <w:num w:numId="8" w16cid:durableId="2121341167">
    <w:abstractNumId w:val="8"/>
  </w:num>
  <w:num w:numId="9" w16cid:durableId="872226159">
    <w:abstractNumId w:val="7"/>
  </w:num>
  <w:num w:numId="10" w16cid:durableId="140333620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32A"/>
    <w:rsid w:val="0009419D"/>
    <w:rsid w:val="000C20E5"/>
    <w:rsid w:val="000D3EAD"/>
    <w:rsid w:val="00100A87"/>
    <w:rsid w:val="001500B3"/>
    <w:rsid w:val="001642B7"/>
    <w:rsid w:val="00194DF4"/>
    <w:rsid w:val="001A2596"/>
    <w:rsid w:val="001E2F3F"/>
    <w:rsid w:val="002069A2"/>
    <w:rsid w:val="002410B7"/>
    <w:rsid w:val="002D12EB"/>
    <w:rsid w:val="002F00A8"/>
    <w:rsid w:val="002F28E9"/>
    <w:rsid w:val="00396C09"/>
    <w:rsid w:val="003B06EA"/>
    <w:rsid w:val="003C749B"/>
    <w:rsid w:val="00462227"/>
    <w:rsid w:val="004D71EA"/>
    <w:rsid w:val="004F1D01"/>
    <w:rsid w:val="005016CE"/>
    <w:rsid w:val="00524452"/>
    <w:rsid w:val="00525655"/>
    <w:rsid w:val="005A6CEB"/>
    <w:rsid w:val="005B675A"/>
    <w:rsid w:val="005D2F31"/>
    <w:rsid w:val="005E07A3"/>
    <w:rsid w:val="006026F6"/>
    <w:rsid w:val="00614C64"/>
    <w:rsid w:val="00640098"/>
    <w:rsid w:val="006C3D65"/>
    <w:rsid w:val="006C7FE0"/>
    <w:rsid w:val="00714E8B"/>
    <w:rsid w:val="00717F15"/>
    <w:rsid w:val="00740994"/>
    <w:rsid w:val="00777D38"/>
    <w:rsid w:val="007D3A45"/>
    <w:rsid w:val="008953A8"/>
    <w:rsid w:val="008A5366"/>
    <w:rsid w:val="008B77E2"/>
    <w:rsid w:val="008D1098"/>
    <w:rsid w:val="00923BAB"/>
    <w:rsid w:val="009B4584"/>
    <w:rsid w:val="00A11B73"/>
    <w:rsid w:val="00A245CA"/>
    <w:rsid w:val="00A92016"/>
    <w:rsid w:val="00AD4721"/>
    <w:rsid w:val="00B10EC4"/>
    <w:rsid w:val="00B401A7"/>
    <w:rsid w:val="00B77C47"/>
    <w:rsid w:val="00C61A85"/>
    <w:rsid w:val="00CA2BAD"/>
    <w:rsid w:val="00CC54B8"/>
    <w:rsid w:val="00CE1AA9"/>
    <w:rsid w:val="00D12046"/>
    <w:rsid w:val="00D328D8"/>
    <w:rsid w:val="00D470E9"/>
    <w:rsid w:val="00DE017D"/>
    <w:rsid w:val="00E73AFF"/>
    <w:rsid w:val="00EC3B13"/>
    <w:rsid w:val="00EE40DF"/>
    <w:rsid w:val="00EE632A"/>
    <w:rsid w:val="00F94C70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58B2921D"/>
  <w15:chartTrackingRefBased/>
  <w15:docId w15:val="{2C91678A-F348-4932-9021-05C8798C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Helvetica 35 Thin" w:hAnsi="Helvetica 35 Thin"/>
      <w:sz w:val="18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kingpoints">
    <w:name w:val="talking points"/>
    <w:basedOn w:val="Normal"/>
    <w:rsid w:val="00714E8B"/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5F92-B344-4319-B7D2-3635BB8B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</vt:lpstr>
    </vt:vector>
  </TitlesOfParts>
  <Company>DVA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</dc:title>
  <dc:subject/>
  <dc:creator>Emmelheinz</dc:creator>
  <cp:keywords/>
  <cp:lastModifiedBy>Devaney, Julie</cp:lastModifiedBy>
  <cp:revision>2</cp:revision>
  <cp:lastPrinted>2015-01-12T05:36:00Z</cp:lastPrinted>
  <dcterms:created xsi:type="dcterms:W3CDTF">2025-07-01T03:01:00Z</dcterms:created>
  <dcterms:modified xsi:type="dcterms:W3CDTF">2025-07-01T03:01:00Z</dcterms:modified>
</cp:coreProperties>
</file>