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8285" w14:textId="77777777" w:rsidR="00714E8B" w:rsidRPr="00714E8B" w:rsidRDefault="00714E8B" w:rsidP="00714E8B">
      <w:pPr>
        <w:tabs>
          <w:tab w:val="right" w:pos="9180"/>
        </w:tabs>
        <w:jc w:val="right"/>
        <w:rPr>
          <w:rFonts w:ascii="Arial" w:hAnsi="Arial" w:cs="Arial"/>
          <w:b/>
          <w:sz w:val="22"/>
          <w:szCs w:val="22"/>
        </w:rPr>
      </w:pPr>
    </w:p>
    <w:p w14:paraId="7E00FE41" w14:textId="77777777" w:rsidR="00714E8B" w:rsidRDefault="00714E8B" w:rsidP="00714E8B">
      <w:pPr>
        <w:autoSpaceDE w:val="0"/>
        <w:autoSpaceDN w:val="0"/>
        <w:adjustRightInd w:val="0"/>
        <w:jc w:val="center"/>
        <w:outlineLvl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Department of Veterans’ Affairs</w:t>
      </w:r>
    </w:p>
    <w:p w14:paraId="072710EF" w14:textId="77777777" w:rsidR="00714E8B" w:rsidRDefault="00714E8B" w:rsidP="00714E8B">
      <w:pPr>
        <w:autoSpaceDE w:val="0"/>
        <w:autoSpaceDN w:val="0"/>
        <w:adjustRightInd w:val="0"/>
        <w:spacing w:after="120"/>
        <w:jc w:val="center"/>
        <w:outlineLvl w:val="0"/>
        <w:rPr>
          <w:sz w:val="23"/>
          <w:szCs w:val="23"/>
        </w:rPr>
      </w:pPr>
      <w:r>
        <w:rPr>
          <w:rFonts w:ascii="Arial" w:hAnsi="Arial"/>
          <w:szCs w:val="28"/>
        </w:rPr>
        <w:t>Defence / DVA Links Steering Committee</w:t>
      </w:r>
    </w:p>
    <w:p w14:paraId="00C1441F" w14:textId="77777777" w:rsidR="00714E8B" w:rsidRDefault="00714E8B" w:rsidP="00714E8B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5EFB95" w14:textId="77777777" w:rsidR="009D22DF" w:rsidRPr="003576B4" w:rsidRDefault="009D22DF" w:rsidP="00340AED">
      <w:pPr>
        <w:pBdr>
          <w:top w:val="single" w:sz="4" w:space="1" w:color="auto"/>
        </w:pBdr>
        <w:autoSpaceDE w:val="0"/>
        <w:autoSpaceDN w:val="0"/>
        <w:adjustRightInd w:val="0"/>
        <w:spacing w:before="240" w:after="360"/>
        <w:jc w:val="center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Summary of Meeting – 8 December 2014</w:t>
      </w:r>
    </w:p>
    <w:p w14:paraId="03E63DF4" w14:textId="77777777" w:rsidR="009D22DF" w:rsidRDefault="009D22DF" w:rsidP="009D22D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3576B4">
        <w:rPr>
          <w:rFonts w:ascii="Arial" w:hAnsi="Arial" w:cs="Arial"/>
          <w:color w:val="000000"/>
        </w:rPr>
        <w:t>The</w:t>
      </w:r>
      <w:r w:rsidRPr="003576B4">
        <w:rPr>
          <w:rFonts w:ascii="Arial" w:hAnsi="Arial" w:cs="Arial"/>
          <w:color w:val="000000"/>
          <w:vertAlign w:val="superscript"/>
        </w:rPr>
        <w:t xml:space="preserve"> </w:t>
      </w:r>
      <w:r w:rsidRPr="003576B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2</w:t>
      </w:r>
      <w:r w:rsidRPr="00D705F2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</w:t>
      </w:r>
      <w:r w:rsidRPr="003576B4">
        <w:rPr>
          <w:rFonts w:ascii="Arial" w:hAnsi="Arial" w:cs="Arial"/>
          <w:color w:val="000000"/>
        </w:rPr>
        <w:t xml:space="preserve">Defence/Department of Veterans’ Affairs (DVA) Links Steering Committee (DLSC) was held in Canberra on </w:t>
      </w:r>
      <w:r>
        <w:rPr>
          <w:rFonts w:ascii="Arial" w:hAnsi="Arial" w:cs="Arial"/>
          <w:color w:val="000000"/>
        </w:rPr>
        <w:t xml:space="preserve">8 December </w:t>
      </w:r>
      <w:r w:rsidRPr="003576B4">
        <w:rPr>
          <w:rFonts w:ascii="Arial" w:hAnsi="Arial" w:cs="Arial"/>
          <w:color w:val="000000"/>
        </w:rPr>
        <w:t>2014.  The following issues were discussed at the meeting:</w:t>
      </w:r>
    </w:p>
    <w:p w14:paraId="32E368CF" w14:textId="77777777" w:rsidR="009D22DF" w:rsidRPr="00D705F2" w:rsidRDefault="009D22DF" w:rsidP="009D22D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color w:val="000000"/>
        </w:rPr>
      </w:pPr>
      <w:r w:rsidRPr="00D705F2">
        <w:rPr>
          <w:rFonts w:ascii="Arial" w:hAnsi="Arial" w:cs="Arial"/>
          <w:b/>
          <w:color w:val="000000"/>
        </w:rPr>
        <w:t>Support Continuum Performance Report</w:t>
      </w:r>
    </w:p>
    <w:p w14:paraId="5938A101" w14:textId="77777777" w:rsidR="009D22DF" w:rsidRPr="00D705F2" w:rsidRDefault="009D22DF" w:rsidP="009D22DF">
      <w:pPr>
        <w:pStyle w:val="talkingpoints"/>
        <w:numPr>
          <w:ilvl w:val="0"/>
          <w:numId w:val="10"/>
        </w:numPr>
        <w:spacing w:before="120" w:after="120"/>
        <w:ind w:left="357" w:hanging="357"/>
        <w:jc w:val="both"/>
        <w:outlineLvl w:val="0"/>
        <w:rPr>
          <w:rFonts w:ascii="Arial" w:hAnsi="Arial" w:cs="Arial"/>
          <w:b/>
          <w:bCs/>
        </w:rPr>
      </w:pPr>
      <w:r w:rsidRPr="00D705F2">
        <w:rPr>
          <w:rFonts w:ascii="Arial" w:hAnsi="Arial" w:cs="Arial"/>
          <w:sz w:val="24"/>
          <w:szCs w:val="24"/>
          <w:lang w:val="en-AU"/>
        </w:rPr>
        <w:t>The Committee reviewed the September 2014 Support Continuum Performance Report</w:t>
      </w:r>
      <w:r>
        <w:rPr>
          <w:rFonts w:ascii="Arial" w:hAnsi="Arial" w:cs="Arial"/>
          <w:sz w:val="24"/>
          <w:szCs w:val="24"/>
          <w:lang w:val="en-AU"/>
        </w:rPr>
        <w:t>.</w:t>
      </w:r>
    </w:p>
    <w:p w14:paraId="6C8596B7" w14:textId="77777777" w:rsidR="009D22DF" w:rsidRPr="003576B4" w:rsidRDefault="009D22DF" w:rsidP="009D22DF">
      <w:pPr>
        <w:pStyle w:val="talkingpoints"/>
        <w:spacing w:before="12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3576B4">
        <w:rPr>
          <w:rFonts w:ascii="Arial" w:hAnsi="Arial" w:cs="Arial"/>
          <w:b/>
          <w:sz w:val="24"/>
          <w:szCs w:val="24"/>
          <w:lang w:val="en-AU"/>
        </w:rPr>
        <w:t>Information Management Working Group (IMWG) Report</w:t>
      </w:r>
    </w:p>
    <w:p w14:paraId="5BF3C97D" w14:textId="77777777" w:rsidR="009D22DF" w:rsidRPr="003576B4" w:rsidRDefault="009D22DF" w:rsidP="009D22DF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3576B4">
        <w:rPr>
          <w:rFonts w:ascii="Arial" w:hAnsi="Arial" w:cs="Arial"/>
          <w:sz w:val="24"/>
          <w:szCs w:val="24"/>
          <w:lang w:val="en-AU"/>
        </w:rPr>
        <w:t xml:space="preserve">The Committee considered IMWG progress on </w:t>
      </w:r>
      <w:r>
        <w:rPr>
          <w:rFonts w:ascii="Arial" w:hAnsi="Arial" w:cs="Arial"/>
          <w:sz w:val="24"/>
          <w:szCs w:val="24"/>
          <w:lang w:val="en-AU"/>
        </w:rPr>
        <w:t xml:space="preserve">the development of the Common Access Portal, </w:t>
      </w:r>
      <w:r w:rsidRPr="003576B4">
        <w:rPr>
          <w:rFonts w:ascii="Arial" w:hAnsi="Arial" w:cs="Arial"/>
          <w:sz w:val="24"/>
          <w:szCs w:val="24"/>
          <w:lang w:val="en-AU"/>
        </w:rPr>
        <w:t>Defence access to DVA claims and determinations data</w:t>
      </w:r>
      <w:r>
        <w:rPr>
          <w:rFonts w:ascii="Arial" w:hAnsi="Arial" w:cs="Arial"/>
          <w:sz w:val="24"/>
          <w:szCs w:val="24"/>
          <w:lang w:val="en-AU"/>
        </w:rPr>
        <w:t>, and work being undertaken to define data access arrangements between the Departments.</w:t>
      </w:r>
    </w:p>
    <w:p w14:paraId="3285A68A" w14:textId="77777777" w:rsidR="009D22DF" w:rsidRDefault="009D22DF" w:rsidP="009D22DF">
      <w:pPr>
        <w:pStyle w:val="NormalWeb"/>
        <w:spacing w:before="120" w:beforeAutospacing="0" w:after="120" w:afterAutospacing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Defence Notifications</w:t>
      </w:r>
    </w:p>
    <w:p w14:paraId="4C52C5B6" w14:textId="77777777" w:rsidR="009D22DF" w:rsidRDefault="009D22DF" w:rsidP="009D22DF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3576B4">
        <w:rPr>
          <w:rFonts w:ascii="Arial" w:hAnsi="Arial" w:cs="Arial"/>
          <w:sz w:val="24"/>
          <w:szCs w:val="24"/>
          <w:lang w:val="en-AU"/>
        </w:rPr>
        <w:t xml:space="preserve">The Committee </w:t>
      </w:r>
      <w:r>
        <w:rPr>
          <w:rFonts w:ascii="Arial" w:hAnsi="Arial" w:cs="Arial"/>
          <w:sz w:val="24"/>
          <w:szCs w:val="24"/>
          <w:lang w:val="en-AU"/>
        </w:rPr>
        <w:t>discussed the progress of the Defence Notifications process for current serving members who may benefit from early contact by DVA.</w:t>
      </w:r>
    </w:p>
    <w:p w14:paraId="1E77BF32" w14:textId="77777777" w:rsidR="009D22DF" w:rsidRDefault="009D22DF" w:rsidP="009D22DF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The Committee agreed that future reporting </w:t>
      </w:r>
      <w:r w:rsidRPr="003576B4">
        <w:rPr>
          <w:rFonts w:ascii="Arial" w:hAnsi="Arial" w:cs="Arial"/>
          <w:sz w:val="24"/>
          <w:szCs w:val="24"/>
          <w:lang w:val="en-AU"/>
        </w:rPr>
        <w:t xml:space="preserve">on this process would be </w:t>
      </w:r>
      <w:r>
        <w:rPr>
          <w:rFonts w:ascii="Arial" w:hAnsi="Arial" w:cs="Arial"/>
          <w:sz w:val="24"/>
          <w:szCs w:val="24"/>
          <w:lang w:val="en-AU"/>
        </w:rPr>
        <w:t>included in the Support Continuum Performance Report.</w:t>
      </w:r>
    </w:p>
    <w:p w14:paraId="72EEA01A" w14:textId="77777777" w:rsidR="009D22DF" w:rsidRPr="003576B4" w:rsidRDefault="009D22DF" w:rsidP="009D22DF">
      <w:pPr>
        <w:pStyle w:val="talkingpoints"/>
        <w:spacing w:before="120"/>
        <w:jc w:val="both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Health Consultative Forum</w:t>
      </w:r>
    </w:p>
    <w:p w14:paraId="4780F577" w14:textId="77777777" w:rsidR="009D22DF" w:rsidRPr="009E7BE3" w:rsidRDefault="009D22DF" w:rsidP="009D22DF">
      <w:pPr>
        <w:pStyle w:val="talkingpoints"/>
        <w:numPr>
          <w:ilvl w:val="0"/>
          <w:numId w:val="8"/>
        </w:numPr>
        <w:tabs>
          <w:tab w:val="clear" w:pos="720"/>
          <w:tab w:val="num" w:pos="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A97121">
        <w:rPr>
          <w:rFonts w:ascii="Arial" w:hAnsi="Arial" w:cs="Arial"/>
          <w:sz w:val="24"/>
          <w:szCs w:val="24"/>
          <w:lang w:val="en-AU"/>
        </w:rPr>
        <w:t xml:space="preserve">The Committee noted that </w:t>
      </w:r>
      <w:r w:rsidRPr="00A97121">
        <w:rPr>
          <w:rFonts w:ascii="Arial" w:hAnsi="Arial" w:cs="Arial"/>
          <w:bCs/>
          <w:sz w:val="24"/>
          <w:szCs w:val="24"/>
        </w:rPr>
        <w:t>DVA’s Health and Community Services Division continues to work closely with Defence’s Joint Health Command in the implementation of the Transition a</w:t>
      </w:r>
      <w:r>
        <w:rPr>
          <w:rFonts w:ascii="Arial" w:hAnsi="Arial" w:cs="Arial"/>
          <w:bCs/>
          <w:sz w:val="24"/>
          <w:szCs w:val="24"/>
        </w:rPr>
        <w:t>nd Wellbeing Research Programme.</w:t>
      </w:r>
    </w:p>
    <w:p w14:paraId="39559EFD" w14:textId="77777777" w:rsidR="009D22DF" w:rsidRPr="009E7BE3" w:rsidRDefault="009D22DF" w:rsidP="009D22DF">
      <w:pPr>
        <w:pStyle w:val="talkingpoints"/>
        <w:numPr>
          <w:ilvl w:val="0"/>
          <w:numId w:val="8"/>
        </w:numPr>
        <w:tabs>
          <w:tab w:val="clear" w:pos="720"/>
          <w:tab w:val="num" w:pos="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bCs/>
          <w:sz w:val="24"/>
          <w:szCs w:val="24"/>
        </w:rPr>
        <w:t xml:space="preserve">The Committee discussed the </w:t>
      </w:r>
      <w:proofErr w:type="gramStart"/>
      <w:r>
        <w:rPr>
          <w:rFonts w:ascii="Arial" w:hAnsi="Arial" w:cs="Arial"/>
          <w:bCs/>
          <w:sz w:val="24"/>
          <w:szCs w:val="24"/>
        </w:rPr>
        <w:t>public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Peer Support Forum held in November 2014 which attracted over 100 ex-service members and heath industry members and the development progress of the SMART website.</w:t>
      </w:r>
    </w:p>
    <w:p w14:paraId="24C111B3" w14:textId="77777777" w:rsidR="009D22DF" w:rsidRPr="009E7BE3" w:rsidRDefault="009D22DF" w:rsidP="009D22DF">
      <w:pPr>
        <w:pStyle w:val="talkingpoints"/>
        <w:spacing w:before="120" w:after="120"/>
        <w:jc w:val="both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Defence eHealth System</w:t>
      </w:r>
    </w:p>
    <w:p w14:paraId="1DD0C5F0" w14:textId="77777777" w:rsidR="009D22DF" w:rsidRPr="009E7BE3" w:rsidRDefault="009D22DF" w:rsidP="009D22DF">
      <w:pPr>
        <w:pStyle w:val="ListParagraph"/>
        <w:numPr>
          <w:ilvl w:val="0"/>
          <w:numId w:val="11"/>
        </w:numPr>
        <w:spacing w:before="120" w:after="120"/>
        <w:ind w:left="357" w:hanging="357"/>
        <w:jc w:val="both"/>
        <w:rPr>
          <w:rFonts w:ascii="Arial" w:hAnsi="Arial" w:cs="Arial"/>
          <w:b/>
          <w:bCs/>
        </w:rPr>
      </w:pPr>
      <w:r w:rsidRPr="009E7BE3">
        <w:rPr>
          <w:rFonts w:ascii="Arial" w:hAnsi="Arial" w:cs="Arial"/>
          <w:bCs/>
        </w:rPr>
        <w:t xml:space="preserve">The Committee </w:t>
      </w:r>
      <w:r>
        <w:rPr>
          <w:rFonts w:ascii="Arial" w:hAnsi="Arial" w:cs="Arial"/>
          <w:bCs/>
        </w:rPr>
        <w:t>were briefed on the rollout of the Defence</w:t>
      </w:r>
      <w:r w:rsidRPr="009E7BE3">
        <w:rPr>
          <w:rFonts w:ascii="Arial" w:hAnsi="Arial" w:cs="Arial"/>
          <w:bCs/>
        </w:rPr>
        <w:t xml:space="preserve"> eHealth System.  </w:t>
      </w:r>
    </w:p>
    <w:p w14:paraId="6D464DB8" w14:textId="77777777" w:rsidR="009D22DF" w:rsidRPr="009E7BE3" w:rsidRDefault="009D22DF" w:rsidP="009D22D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Suakin Program</w:t>
      </w:r>
    </w:p>
    <w:p w14:paraId="3D207B43" w14:textId="77777777" w:rsidR="009D22DF" w:rsidRPr="009E7BE3" w:rsidRDefault="009D22DF" w:rsidP="009D22DF">
      <w:pPr>
        <w:pStyle w:val="ListParagraph"/>
        <w:numPr>
          <w:ilvl w:val="0"/>
          <w:numId w:val="11"/>
        </w:numPr>
        <w:spacing w:before="120" w:after="120"/>
        <w:ind w:left="357" w:hanging="357"/>
        <w:jc w:val="both"/>
        <w:rPr>
          <w:rFonts w:ascii="Arial" w:hAnsi="Arial" w:cs="Arial"/>
          <w:b/>
          <w:bCs/>
        </w:rPr>
      </w:pPr>
      <w:r w:rsidRPr="009E7BE3">
        <w:rPr>
          <w:rFonts w:ascii="Arial" w:hAnsi="Arial" w:cs="Arial"/>
          <w:bCs/>
        </w:rPr>
        <w:t>The Committee were</w:t>
      </w:r>
      <w:r>
        <w:rPr>
          <w:rFonts w:ascii="Arial" w:hAnsi="Arial" w:cs="Arial"/>
          <w:bCs/>
        </w:rPr>
        <w:t xml:space="preserve"> updated on the progress of Defence’s Project Suakin Program.</w:t>
      </w:r>
    </w:p>
    <w:p w14:paraId="22259714" w14:textId="77777777" w:rsidR="009D22DF" w:rsidRPr="0048362B" w:rsidRDefault="009D22DF" w:rsidP="009D22DF">
      <w:pPr>
        <w:spacing w:before="120" w:after="120"/>
        <w:outlineLvl w:val="0"/>
        <w:rPr>
          <w:rFonts w:ascii="Arial" w:hAnsi="Arial" w:cs="Arial"/>
          <w:b/>
        </w:rPr>
      </w:pPr>
      <w:r w:rsidRPr="0048362B">
        <w:rPr>
          <w:rFonts w:ascii="Arial" w:hAnsi="Arial" w:cs="Arial"/>
          <w:b/>
        </w:rPr>
        <w:t xml:space="preserve">Defence Links Research </w:t>
      </w:r>
      <w:r>
        <w:rPr>
          <w:rFonts w:ascii="Arial" w:hAnsi="Arial" w:cs="Arial"/>
          <w:b/>
        </w:rPr>
        <w:t>Working Group</w:t>
      </w:r>
    </w:p>
    <w:p w14:paraId="172196A9" w14:textId="77777777" w:rsidR="009D22DF" w:rsidRPr="00EC513D" w:rsidRDefault="009D22DF" w:rsidP="009D22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C513D">
        <w:rPr>
          <w:rFonts w:ascii="Arial" w:hAnsi="Arial" w:cs="Arial"/>
          <w:bCs/>
        </w:rPr>
        <w:t xml:space="preserve">Issues discussed by the Committee included: </w:t>
      </w:r>
      <w:r w:rsidRPr="00EC513D">
        <w:rPr>
          <w:rFonts w:ascii="Arial" w:hAnsi="Arial" w:cs="Arial"/>
        </w:rPr>
        <w:t>the Transition and Wellbeing Research Programme; progress on the MRCA Rehabilitation Long Term Study; the October 2014 release of the Peacekeepers and the Rwanda Deployment Health Studies; and the Australasian Military Medicine Association (AMMA) Conference held 17-19 October 2014.</w:t>
      </w:r>
    </w:p>
    <w:p w14:paraId="7E9D944D" w14:textId="77777777" w:rsidR="009D22DF" w:rsidRDefault="009D22DF" w:rsidP="009D22DF">
      <w:pPr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Veterans’ Employment Assistance Initiative</w:t>
      </w:r>
    </w:p>
    <w:p w14:paraId="7E4F560A" w14:textId="77777777" w:rsidR="009D22DF" w:rsidRDefault="009D22DF" w:rsidP="009D22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Pr="007C03F7">
        <w:rPr>
          <w:rFonts w:ascii="Arial" w:hAnsi="Arial" w:cs="Arial"/>
          <w:bCs/>
        </w:rPr>
        <w:t xml:space="preserve"> Committee </w:t>
      </w:r>
      <w:r>
        <w:rPr>
          <w:rFonts w:ascii="Arial" w:hAnsi="Arial" w:cs="Arial"/>
          <w:bCs/>
        </w:rPr>
        <w:t xml:space="preserve">was updated </w:t>
      </w:r>
      <w:r w:rsidRPr="007C03F7">
        <w:rPr>
          <w:rFonts w:ascii="Arial" w:hAnsi="Arial" w:cs="Arial"/>
          <w:bCs/>
        </w:rPr>
        <w:t>on the Veterans’ Em</w:t>
      </w:r>
      <w:r>
        <w:rPr>
          <w:rFonts w:ascii="Arial" w:hAnsi="Arial" w:cs="Arial"/>
          <w:bCs/>
        </w:rPr>
        <w:t xml:space="preserve">ployment Assistance Initiative, </w:t>
      </w:r>
      <w:r w:rsidRPr="007D6945">
        <w:rPr>
          <w:rFonts w:ascii="Arial" w:hAnsi="Arial" w:cs="Arial"/>
          <w:bCs/>
        </w:rPr>
        <w:t>launched by the Minister for Veterans’ Affairs i</w:t>
      </w:r>
      <w:r>
        <w:rPr>
          <w:rFonts w:ascii="Arial" w:hAnsi="Arial" w:cs="Arial"/>
          <w:bCs/>
        </w:rPr>
        <w:t>n Brisbane on 12 September 2014.</w:t>
      </w:r>
    </w:p>
    <w:p w14:paraId="44A4B871" w14:textId="77777777" w:rsidR="009D22DF" w:rsidRDefault="009D22DF" w:rsidP="009D22DF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4495CC" w14:textId="77777777" w:rsidR="009D22DF" w:rsidRPr="007911A3" w:rsidRDefault="009D22DF" w:rsidP="009D22DF">
      <w:pPr>
        <w:pStyle w:val="NormalWeb"/>
        <w:spacing w:before="240" w:beforeAutospacing="0" w:after="12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Joint Standing Committee on Foreign Affairs, Defence and Trade Report on Care of ADF Personnel Wounded and Injured in Operations </w:t>
      </w:r>
      <w:r>
        <w:rPr>
          <w:rFonts w:ascii="Arial" w:hAnsi="Arial" w:cs="Arial"/>
          <w:b/>
        </w:rPr>
        <w:t>(JSCFADT Report)</w:t>
      </w:r>
    </w:p>
    <w:p w14:paraId="2833AFA4" w14:textId="77777777" w:rsidR="009D22DF" w:rsidRPr="007C03F7" w:rsidRDefault="009D22DF" w:rsidP="009D22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bCs/>
        </w:rPr>
      </w:pPr>
      <w:r w:rsidRPr="007C03F7">
        <w:rPr>
          <w:rFonts w:ascii="Arial" w:hAnsi="Arial" w:cs="Arial"/>
          <w:bCs/>
        </w:rPr>
        <w:t>The Committee agreed that it would</w:t>
      </w:r>
      <w:r>
        <w:rPr>
          <w:rFonts w:ascii="Arial" w:hAnsi="Arial" w:cs="Arial"/>
          <w:bCs/>
        </w:rPr>
        <w:t xml:space="preserve"> seek a report on progress across the 25 recommendations from the Report for discussion at the next meeting.</w:t>
      </w:r>
    </w:p>
    <w:p w14:paraId="61E5FC38" w14:textId="77777777" w:rsidR="009D22DF" w:rsidRPr="00A13EBA" w:rsidRDefault="009D22DF" w:rsidP="009D22D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MRCA Review Implementation Education Program Planning</w:t>
      </w:r>
    </w:p>
    <w:p w14:paraId="4F09E1C9" w14:textId="77777777" w:rsidR="009D22DF" w:rsidRPr="007C03F7" w:rsidRDefault="009D22DF" w:rsidP="009D22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bCs/>
        </w:rPr>
      </w:pPr>
      <w:r w:rsidRPr="007D6945">
        <w:rPr>
          <w:rFonts w:ascii="Arial" w:hAnsi="Arial" w:cs="Arial"/>
          <w:bCs/>
        </w:rPr>
        <w:t>The C</w:t>
      </w:r>
      <w:r w:rsidRPr="007C03F7">
        <w:rPr>
          <w:rFonts w:ascii="Arial" w:hAnsi="Arial" w:cs="Arial"/>
          <w:bCs/>
        </w:rPr>
        <w:t>ommittee</w:t>
      </w:r>
      <w:r>
        <w:rPr>
          <w:rFonts w:ascii="Arial" w:hAnsi="Arial" w:cs="Arial"/>
          <w:bCs/>
        </w:rPr>
        <w:t xml:space="preserve"> received an update</w:t>
      </w:r>
      <w:r w:rsidRPr="007C03F7">
        <w:rPr>
          <w:rFonts w:ascii="Arial" w:hAnsi="Arial" w:cs="Arial"/>
          <w:bCs/>
        </w:rPr>
        <w:t xml:space="preserve"> on the MRCA Review Implementa</w:t>
      </w:r>
      <w:r>
        <w:rPr>
          <w:rFonts w:ascii="Arial" w:hAnsi="Arial" w:cs="Arial"/>
          <w:bCs/>
        </w:rPr>
        <w:t xml:space="preserve">tion Education Program Planning including a presentation of one of the </w:t>
      </w:r>
      <w:r w:rsidRPr="007C03F7">
        <w:rPr>
          <w:rFonts w:ascii="Arial" w:hAnsi="Arial" w:cs="Arial"/>
          <w:bCs/>
        </w:rPr>
        <w:t>key products from the Education Program to the Committee, a YouTube video. The video reminds Australian Defence Force members that support is available no matter what stage of their career they’re at.</w:t>
      </w:r>
    </w:p>
    <w:p w14:paraId="4927B602" w14:textId="77777777" w:rsidR="009D22DF" w:rsidRPr="007911A3" w:rsidRDefault="009D22DF" w:rsidP="009D22DF">
      <w:pPr>
        <w:pStyle w:val="NormalWeb"/>
        <w:spacing w:before="120" w:beforeAutospacing="0" w:after="120" w:afterAutospacing="0"/>
        <w:jc w:val="both"/>
        <w:outlineLvl w:val="0"/>
        <w:rPr>
          <w:rFonts w:ascii="Arial" w:hAnsi="Arial" w:cs="Arial"/>
        </w:rPr>
      </w:pPr>
      <w:r w:rsidRPr="007911A3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ngoing B</w:t>
      </w:r>
      <w:r w:rsidRPr="007911A3">
        <w:rPr>
          <w:rFonts w:ascii="Arial" w:hAnsi="Arial" w:cs="Arial"/>
          <w:b/>
          <w:bCs/>
        </w:rPr>
        <w:t xml:space="preserve">usiness </w:t>
      </w:r>
    </w:p>
    <w:p w14:paraId="137E4A57" w14:textId="77777777" w:rsidR="009D22DF" w:rsidRDefault="009D22DF" w:rsidP="009D22DF">
      <w:pPr>
        <w:pStyle w:val="talkingpoints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4"/>
          <w:szCs w:val="24"/>
          <w:lang w:val="en-AU"/>
        </w:rPr>
      </w:pPr>
      <w:r w:rsidRPr="003576B4">
        <w:rPr>
          <w:rFonts w:ascii="Arial" w:hAnsi="Arial" w:cs="Arial"/>
          <w:sz w:val="24"/>
          <w:szCs w:val="24"/>
          <w:lang w:val="en-AU"/>
        </w:rPr>
        <w:t xml:space="preserve">The next meeting will be held on </w:t>
      </w:r>
      <w:r>
        <w:rPr>
          <w:rFonts w:ascii="Arial" w:hAnsi="Arial" w:cs="Arial"/>
          <w:sz w:val="24"/>
          <w:szCs w:val="24"/>
          <w:lang w:val="en-AU"/>
        </w:rPr>
        <w:t>20 March 2015</w:t>
      </w:r>
      <w:r w:rsidRPr="003576B4">
        <w:rPr>
          <w:rFonts w:ascii="Arial" w:hAnsi="Arial" w:cs="Arial"/>
          <w:sz w:val="24"/>
          <w:szCs w:val="24"/>
          <w:lang w:val="en-AU"/>
        </w:rPr>
        <w:t>.</w:t>
      </w:r>
    </w:p>
    <w:p w14:paraId="6EF69663" w14:textId="77777777" w:rsidR="009D22DF" w:rsidRDefault="009D22DF" w:rsidP="009D22DF">
      <w:pPr>
        <w:pStyle w:val="talkingpoints"/>
        <w:spacing w:before="120" w:after="120"/>
        <w:jc w:val="both"/>
        <w:rPr>
          <w:rFonts w:ascii="Arial" w:hAnsi="Arial" w:cs="Arial"/>
          <w:sz w:val="24"/>
          <w:szCs w:val="24"/>
          <w:lang w:val="en-AU"/>
        </w:rPr>
      </w:pPr>
    </w:p>
    <w:sectPr w:rsidR="009D22DF" w:rsidSect="00FF51BC">
      <w:headerReference w:type="default" r:id="rId8"/>
      <w:headerReference w:type="first" r:id="rId9"/>
      <w:pgSz w:w="11906" w:h="16838" w:code="9"/>
      <w:pgMar w:top="567" w:right="567" w:bottom="567" w:left="567" w:header="28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3E1F" w14:textId="77777777" w:rsidR="007B5C64" w:rsidRDefault="007B5C64">
      <w:r>
        <w:separator/>
      </w:r>
    </w:p>
  </w:endnote>
  <w:endnote w:type="continuationSeparator" w:id="0">
    <w:p w14:paraId="12BCE865" w14:textId="77777777" w:rsidR="007B5C64" w:rsidRDefault="007B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 35 Thi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FA32" w14:textId="77777777" w:rsidR="007B5C64" w:rsidRDefault="007B5C64">
      <w:r>
        <w:separator/>
      </w:r>
    </w:p>
  </w:footnote>
  <w:footnote w:type="continuationSeparator" w:id="0">
    <w:p w14:paraId="3278DED2" w14:textId="77777777" w:rsidR="007B5C64" w:rsidRDefault="007B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F055" w14:textId="77777777" w:rsidR="002D12EB" w:rsidRDefault="002D12EB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- </w:t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164729">
      <w:rPr>
        <w:rStyle w:val="PageNumber"/>
        <w:rFonts w:ascii="Times New Roman" w:hAnsi="Times New Roman"/>
        <w:noProof/>
        <w:sz w:val="20"/>
      </w:rPr>
      <w:t>2</w:t>
    </w:r>
    <w:r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C171" w14:textId="77777777" w:rsidR="002D12EB" w:rsidRDefault="002D12EB">
    <w:pPr>
      <w:pStyle w:val="Header"/>
      <w:tabs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2"/>
    <w:multiLevelType w:val="hybridMultilevel"/>
    <w:tmpl w:val="6368E4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26F"/>
    <w:multiLevelType w:val="hybridMultilevel"/>
    <w:tmpl w:val="90EE773A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2" w15:restartNumberingAfterBreak="0">
    <w:nsid w:val="21D34F34"/>
    <w:multiLevelType w:val="hybridMultilevel"/>
    <w:tmpl w:val="A2A2A114"/>
    <w:lvl w:ilvl="0" w:tplc="CA8A83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690A06"/>
    <w:multiLevelType w:val="hybridMultilevel"/>
    <w:tmpl w:val="7C984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C4B29"/>
    <w:multiLevelType w:val="hybridMultilevel"/>
    <w:tmpl w:val="C7383A1E"/>
    <w:lvl w:ilvl="0" w:tplc="0C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AF665074">
      <w:start w:val="2010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System" w:eastAsia="Times New Roman" w:hAnsi="System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505477C8"/>
    <w:multiLevelType w:val="hybridMultilevel"/>
    <w:tmpl w:val="F5B029CC"/>
    <w:lvl w:ilvl="0" w:tplc="B7886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1D21"/>
    <w:multiLevelType w:val="hybridMultilevel"/>
    <w:tmpl w:val="62549962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7" w15:restartNumberingAfterBreak="0">
    <w:nsid w:val="689A2F58"/>
    <w:multiLevelType w:val="hybridMultilevel"/>
    <w:tmpl w:val="01768A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94D9A"/>
    <w:multiLevelType w:val="hybridMultilevel"/>
    <w:tmpl w:val="65165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84701"/>
    <w:multiLevelType w:val="hybridMultilevel"/>
    <w:tmpl w:val="49465922"/>
    <w:lvl w:ilvl="0" w:tplc="D6109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B5C4F8E"/>
    <w:multiLevelType w:val="hybridMultilevel"/>
    <w:tmpl w:val="B2D894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606146">
    <w:abstractNumId w:val="5"/>
  </w:num>
  <w:num w:numId="2" w16cid:durableId="991757552">
    <w:abstractNumId w:val="1"/>
  </w:num>
  <w:num w:numId="3" w16cid:durableId="526065906">
    <w:abstractNumId w:val="6"/>
  </w:num>
  <w:num w:numId="4" w16cid:durableId="243686109">
    <w:abstractNumId w:val="7"/>
  </w:num>
  <w:num w:numId="5" w16cid:durableId="391923959">
    <w:abstractNumId w:val="2"/>
  </w:num>
  <w:num w:numId="6" w16cid:durableId="1891188733">
    <w:abstractNumId w:val="9"/>
  </w:num>
  <w:num w:numId="7" w16cid:durableId="2090881203">
    <w:abstractNumId w:val="0"/>
  </w:num>
  <w:num w:numId="8" w16cid:durableId="746075843">
    <w:abstractNumId w:val="10"/>
  </w:num>
  <w:num w:numId="9" w16cid:durableId="450248480">
    <w:abstractNumId w:val="4"/>
  </w:num>
  <w:num w:numId="10" w16cid:durableId="1895847005">
    <w:abstractNumId w:val="3"/>
  </w:num>
  <w:num w:numId="11" w16cid:durableId="1229807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32A"/>
    <w:rsid w:val="000D3EAD"/>
    <w:rsid w:val="00100A87"/>
    <w:rsid w:val="001500B3"/>
    <w:rsid w:val="001642B7"/>
    <w:rsid w:val="00164729"/>
    <w:rsid w:val="00194DF4"/>
    <w:rsid w:val="001A2596"/>
    <w:rsid w:val="002069A2"/>
    <w:rsid w:val="002410B7"/>
    <w:rsid w:val="00244E92"/>
    <w:rsid w:val="00274D1B"/>
    <w:rsid w:val="002D12EB"/>
    <w:rsid w:val="002F00A8"/>
    <w:rsid w:val="002F28E9"/>
    <w:rsid w:val="00340AED"/>
    <w:rsid w:val="00396C09"/>
    <w:rsid w:val="003C749B"/>
    <w:rsid w:val="003D4826"/>
    <w:rsid w:val="003F1BFF"/>
    <w:rsid w:val="004D71EA"/>
    <w:rsid w:val="004F1D01"/>
    <w:rsid w:val="00524452"/>
    <w:rsid w:val="00525655"/>
    <w:rsid w:val="005A6CEB"/>
    <w:rsid w:val="005D2F31"/>
    <w:rsid w:val="00614C64"/>
    <w:rsid w:val="00640098"/>
    <w:rsid w:val="006C3D65"/>
    <w:rsid w:val="006C7FE0"/>
    <w:rsid w:val="00714E8B"/>
    <w:rsid w:val="00777D38"/>
    <w:rsid w:val="007B5C64"/>
    <w:rsid w:val="008953A8"/>
    <w:rsid w:val="008B77E2"/>
    <w:rsid w:val="008D1098"/>
    <w:rsid w:val="009D22DF"/>
    <w:rsid w:val="00A92016"/>
    <w:rsid w:val="00AD4721"/>
    <w:rsid w:val="00B10EC4"/>
    <w:rsid w:val="00B34AC0"/>
    <w:rsid w:val="00B66A17"/>
    <w:rsid w:val="00B77C47"/>
    <w:rsid w:val="00BE7451"/>
    <w:rsid w:val="00C61A85"/>
    <w:rsid w:val="00CA2BAD"/>
    <w:rsid w:val="00CC54B8"/>
    <w:rsid w:val="00CE1AA9"/>
    <w:rsid w:val="00D12046"/>
    <w:rsid w:val="00D328D8"/>
    <w:rsid w:val="00D470E9"/>
    <w:rsid w:val="00DE017D"/>
    <w:rsid w:val="00E73AFF"/>
    <w:rsid w:val="00EC3B13"/>
    <w:rsid w:val="00EE632A"/>
    <w:rsid w:val="00F94C70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DBF6E4"/>
  <w15:chartTrackingRefBased/>
  <w15:docId w15:val="{0F9BCF6F-6F69-4101-99F4-8D4E677E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Helvetica 35 Thin" w:hAnsi="Helvetica 35 Thin"/>
      <w:sz w:val="18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kingpoints">
    <w:name w:val="talking points"/>
    <w:basedOn w:val="Normal"/>
    <w:rsid w:val="00714E8B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rsid w:val="009D22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4948-2FF6-4345-9011-57FAFAB9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</vt:lpstr>
    </vt:vector>
  </TitlesOfParts>
  <Company>DVA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</dc:title>
  <dc:subject/>
  <dc:creator>Emmelheinz</dc:creator>
  <cp:keywords/>
  <dc:description/>
  <cp:lastModifiedBy>Devaney, Julie</cp:lastModifiedBy>
  <cp:revision>2</cp:revision>
  <cp:lastPrinted>2014-11-21T05:19:00Z</cp:lastPrinted>
  <dcterms:created xsi:type="dcterms:W3CDTF">2025-06-17T23:17:00Z</dcterms:created>
  <dcterms:modified xsi:type="dcterms:W3CDTF">2025-06-17T23:17:00Z</dcterms:modified>
</cp:coreProperties>
</file>