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13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C15C28" w:rsidRPr="00C15C28" w14:paraId="600635DC" w14:textId="77777777" w:rsidTr="003C7281">
        <w:trPr>
          <w:trHeight w:val="1814"/>
        </w:trPr>
        <w:tc>
          <w:tcPr>
            <w:tcW w:w="11340" w:type="dxa"/>
            <w:shd w:val="clear" w:color="auto" w:fill="002060"/>
          </w:tcPr>
          <w:p w14:paraId="0BBB7AF1" w14:textId="77777777" w:rsidR="0075208A" w:rsidRDefault="00931014" w:rsidP="5F83670A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  <w:r w:rsidRPr="003A047F">
              <w:rPr>
                <w:rFonts w:ascii="AusGov DVA Stacked 4U" w:hAnsi="AusGov DVA Stacked 4U" w:cs="Arial"/>
                <w:noProof/>
                <w:color w:val="FFFFFF" w:themeColor="background1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2E12430C" wp14:editId="1931F378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167640</wp:posOffset>
                      </wp:positionV>
                      <wp:extent cx="335534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89C44" w14:textId="539D2408" w:rsidR="00607EFA" w:rsidRPr="002A78B2" w:rsidRDefault="00607EFA" w:rsidP="00E220B7">
                                  <w:pPr>
                                    <w:jc w:val="center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  <w:highlight w:val="green"/>
                                    </w:rPr>
                                  </w:pPr>
                                  <w:r w:rsidRPr="00035BB5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 xml:space="preserve">COMMUNITY NURSING NEWSLETTER No. </w:t>
                                  </w:r>
                                  <w:r w:rsidR="00FB3F18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55</w:t>
                                  </w:r>
                                </w:p>
                                <w:p w14:paraId="5FEFAF57" w14:textId="4E74DE52" w:rsidR="00931014" w:rsidRPr="00035BB5" w:rsidRDefault="00FB3F18" w:rsidP="00E220B7">
                                  <w:pPr>
                                    <w:jc w:val="center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FB3F18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June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124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7pt;margin-top:13.2pt;width:264.2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" filled="f" stroked="f">
                      <v:textbox style="mso-fit-shape-to-text:t">
                        <w:txbxContent>
                          <w:p w14:paraId="1BD89C44" w14:textId="539D2408" w:rsidR="00607EFA" w:rsidRPr="002A78B2" w:rsidRDefault="00607EFA" w:rsidP="00E220B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  <w:highlight w:val="green"/>
                              </w:rPr>
                            </w:pPr>
                            <w:r w:rsidRPr="00035BB5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 xml:space="preserve">COMMUNITY NURSING NEWSLETTER No. </w:t>
                            </w:r>
                            <w:r w:rsidR="00FB3F18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55</w:t>
                            </w:r>
                          </w:p>
                          <w:p w14:paraId="5FEFAF57" w14:textId="4E74DE52" w:rsidR="00931014" w:rsidRPr="00035BB5" w:rsidRDefault="00FB3F18" w:rsidP="00E220B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FB3F18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June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6822A7" w14:textId="77777777" w:rsidR="008C7EEF" w:rsidRPr="003A047F" w:rsidRDefault="003A047F" w:rsidP="003A047F">
            <w:pPr>
              <w:ind w:right="-136"/>
              <w:rPr>
                <w:rFonts w:ascii="AusGov DVA Stacked 4U" w:hAnsi="AusGov DVA Stacked 4U" w:cs="Arial"/>
                <w:color w:val="002060"/>
                <w:sz w:val="200"/>
                <w:szCs w:val="200"/>
              </w:rPr>
            </w:pPr>
            <w:r w:rsidRPr="00C168FC"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E181EE2" wp14:editId="164E2E55">
                  <wp:simplePos x="0" y="0"/>
                  <wp:positionH relativeFrom="column">
                    <wp:posOffset>5427608</wp:posOffset>
                  </wp:positionH>
                  <wp:positionV relativeFrom="paragraph">
                    <wp:posOffset>215001</wp:posOffset>
                  </wp:positionV>
                  <wp:extent cx="1566723" cy="88867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6723" cy="888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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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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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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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</w:t>
            </w:r>
          </w:p>
        </w:tc>
      </w:tr>
      <w:tr w:rsidR="0090736B" w:rsidRPr="00C15C28" w14:paraId="4FDAD1B9" w14:textId="77777777" w:rsidTr="00802392">
        <w:trPr>
          <w:trHeight w:val="523"/>
        </w:trPr>
        <w:tc>
          <w:tcPr>
            <w:tcW w:w="11340" w:type="dxa"/>
            <w:tcBorders>
              <w:bottom w:val="nil"/>
            </w:tcBorders>
            <w:shd w:val="clear" w:color="auto" w:fill="002060"/>
          </w:tcPr>
          <w:p w14:paraId="694D26EA" w14:textId="51B42CE8" w:rsidR="0090736B" w:rsidRPr="002A78B2" w:rsidRDefault="0075208A" w:rsidP="00931014">
            <w:pPr>
              <w:ind w:right="-136"/>
              <w:jc w:val="center"/>
              <w:rPr>
                <w:rFonts w:ascii="Aptos" w:hAnsi="Aptos" w:cs="Arial"/>
                <w:noProof/>
                <w:color w:val="002060"/>
                <w:sz w:val="24"/>
                <w:szCs w:val="24"/>
                <w:lang w:eastAsia="en-AU"/>
              </w:rPr>
            </w:pP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Th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is </w:t>
            </w:r>
            <w:r w:rsidRPr="002A78B2">
              <w:rPr>
                <w:rFonts w:ascii="Aptos" w:hAnsi="Aptos" w:cstheme="minorHAnsi"/>
                <w:b/>
                <w:iCs/>
                <w:color w:val="FFFFFF" w:themeColor="background1"/>
                <w:sz w:val="24"/>
                <w:szCs w:val="24"/>
              </w:rPr>
              <w:t>Newsletter</w:t>
            </w:r>
            <w:r w:rsidRPr="002A78B2">
              <w:rPr>
                <w:rFonts w:ascii="Aptos" w:hAnsi="Aptos" w:cstheme="minorHAnsi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is issued to provide 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update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s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 to D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VA contracted Community Nursing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 provide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rs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035BB5" w:rsidRPr="00C15C28" w14:paraId="0BB536D7" w14:textId="77777777" w:rsidTr="00802392">
        <w:trPr>
          <w:trHeight w:val="2956"/>
        </w:trPr>
        <w:tc>
          <w:tcPr>
            <w:tcW w:w="11340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39E924A" w14:textId="77777777" w:rsidR="00F55403" w:rsidRPr="00F55403" w:rsidRDefault="00F55403" w:rsidP="003C7281">
            <w:pPr>
              <w:spacing w:line="259" w:lineRule="auto"/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67590431" w14:textId="2DC0F10B" w:rsidR="00035BB5" w:rsidRPr="00035BB5" w:rsidRDefault="006D3140" w:rsidP="003C7281">
            <w:pPr>
              <w:spacing w:line="259" w:lineRule="auto"/>
              <w:rPr>
                <w:rFonts w:ascii="Aptos" w:hAnsi="Aptos" w:cs="Arial"/>
                <w:color w:val="002060"/>
                <w:sz w:val="36"/>
                <w:szCs w:val="36"/>
              </w:rPr>
            </w:pPr>
            <w:r>
              <w:rPr>
                <w:rFonts w:ascii="Aptos" w:hAnsi="Aptos" w:cs="Arial"/>
                <w:color w:val="002060"/>
                <w:sz w:val="36"/>
                <w:szCs w:val="36"/>
              </w:rPr>
              <w:t>Update</w:t>
            </w:r>
            <w:r w:rsidR="00064387">
              <w:rPr>
                <w:rFonts w:ascii="Aptos" w:hAnsi="Aptos" w:cs="Arial"/>
                <w:color w:val="002060"/>
                <w:sz w:val="36"/>
                <w:szCs w:val="36"/>
              </w:rPr>
              <w:t xml:space="preserve">d </w:t>
            </w:r>
            <w:r>
              <w:rPr>
                <w:rFonts w:ascii="Aptos" w:hAnsi="Aptos" w:cs="Arial"/>
                <w:color w:val="002060"/>
                <w:sz w:val="36"/>
                <w:szCs w:val="36"/>
              </w:rPr>
              <w:t xml:space="preserve">Notes for Community Nursing </w:t>
            </w:r>
            <w:r w:rsidR="00920037">
              <w:rPr>
                <w:rFonts w:ascii="Aptos" w:hAnsi="Aptos" w:cs="Arial"/>
                <w:color w:val="002060"/>
                <w:sz w:val="36"/>
                <w:szCs w:val="36"/>
              </w:rPr>
              <w:t>P</w:t>
            </w:r>
            <w:r>
              <w:rPr>
                <w:rFonts w:ascii="Aptos" w:hAnsi="Aptos" w:cs="Arial"/>
                <w:color w:val="002060"/>
                <w:sz w:val="36"/>
                <w:szCs w:val="36"/>
              </w:rPr>
              <w:t>roviders</w:t>
            </w:r>
          </w:p>
          <w:p w14:paraId="13F5634F" w14:textId="48EAD221" w:rsidR="00E62BA4" w:rsidRPr="00E62BA4" w:rsidRDefault="00E62BA4" w:rsidP="00E62BA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The Notes for Community Nursing Providers (the Notes) have been reviewed and updated, with the updated version taking effect from </w:t>
            </w:r>
            <w:r w:rsidR="00FE132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1 </w:t>
            </w:r>
            <w:r w:rsidRPr="00E62BA4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July 2025. </w:t>
            </w:r>
          </w:p>
          <w:p w14:paraId="47EF928F" w14:textId="77777777" w:rsidR="00E62BA4" w:rsidRPr="00E62BA4" w:rsidRDefault="00E62BA4" w:rsidP="00E62BA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4CD64F04" w14:textId="77777777" w:rsidR="00E62BA4" w:rsidRPr="00E62BA4" w:rsidRDefault="00E62BA4" w:rsidP="00E62BA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Updates to the Notes include: </w:t>
            </w:r>
          </w:p>
          <w:p w14:paraId="54A228D7" w14:textId="77777777" w:rsidR="00E62BA4" w:rsidRPr="00E62BA4" w:rsidRDefault="00E62BA4" w:rsidP="00E62BA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Clarification of medication administration and medication assistance authority requirements (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Sections 3.2.1, 6.3.2.2 &amp; 6.4.2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)</w:t>
            </w:r>
          </w:p>
          <w:p w14:paraId="6C059885" w14:textId="77777777" w:rsidR="00E62BA4" w:rsidRPr="00E62BA4" w:rsidRDefault="00E62BA4" w:rsidP="00E62BA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Refinement of nursing care plan requirements to standardise inclusions (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Section 5.2.1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 xml:space="preserve"> and 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Attachment A, Section 1 – Exceptional Case Applications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)</w:t>
            </w:r>
          </w:p>
          <w:p w14:paraId="2DB90D0B" w14:textId="62B1FFFD" w:rsidR="00E62BA4" w:rsidRPr="00E62BA4" w:rsidRDefault="00E62BA4" w:rsidP="00E62BA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 xml:space="preserve">The removal of two temporary pandemic provisions that allowed the remote delivery of wellbeing checks and </w:t>
            </w:r>
            <w:proofErr w:type="gramStart"/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28 day</w:t>
            </w:r>
            <w:proofErr w:type="gramEnd"/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 xml:space="preserve"> reviews via telehealth, which expire on 30 June 2025 (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previously sections 6.4.1 &amp; 8.2.1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)</w:t>
            </w:r>
          </w:p>
          <w:p w14:paraId="2F363A09" w14:textId="0A925EC0" w:rsidR="00E62BA4" w:rsidRPr="00E62BA4" w:rsidRDefault="00E62BA4" w:rsidP="00E62BA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 xml:space="preserve">Clarification of the claiming rules, particularly </w:t>
            </w:r>
            <w:r w:rsidR="00C61D3F"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regarding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 xml:space="preserve"> items that can be claimed concurrently (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Sections 6.5 &amp; 6.9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)</w:t>
            </w:r>
          </w:p>
          <w:p w14:paraId="4E5D3958" w14:textId="77777777" w:rsidR="00E62BA4" w:rsidRPr="00E62BA4" w:rsidRDefault="00E62BA4" w:rsidP="00E62BA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Amendments to the language used around the quality standards to further align with the strengthened Aged Care Quality Standards (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Sections 10.2.4 &amp; 10.2.5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)</w:t>
            </w:r>
          </w:p>
          <w:p w14:paraId="33CA8B06" w14:textId="77777777" w:rsidR="00E62BA4" w:rsidRPr="00E62BA4" w:rsidRDefault="00E62BA4" w:rsidP="00E62BA4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</w:pP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Clarification of application requirements for providers seeking Exceptional Case approval (</w:t>
            </w:r>
            <w:r w:rsidRPr="00E62BA4">
              <w:rPr>
                <w:rFonts w:ascii="Aptos" w:eastAsia="Times New Roman" w:hAnsi="Aptos"/>
                <w:i/>
                <w:iCs/>
                <w:color w:val="2F5496" w:themeColor="accent5" w:themeShade="BF"/>
                <w:sz w:val="24"/>
                <w:szCs w:val="24"/>
              </w:rPr>
              <w:t>Attachment A – Section 1</w:t>
            </w:r>
            <w:r w:rsidRPr="00E62BA4">
              <w:rPr>
                <w:rFonts w:ascii="Aptos" w:eastAsia="Times New Roman" w:hAnsi="Aptos"/>
                <w:color w:val="2F5496" w:themeColor="accent5" w:themeShade="BF"/>
                <w:sz w:val="24"/>
                <w:szCs w:val="24"/>
              </w:rPr>
              <w:t>)</w:t>
            </w:r>
          </w:p>
          <w:p w14:paraId="7C44454F" w14:textId="77777777" w:rsidR="00E62BA4" w:rsidRPr="00E62BA4" w:rsidRDefault="00E62BA4" w:rsidP="00E62BA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72072A38" w14:textId="6D6947F6" w:rsidR="00035BB5" w:rsidRPr="00A45655" w:rsidRDefault="00E62BA4" w:rsidP="00035BB5">
            <w:r w:rsidRPr="00E62BA4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The updated version of the Notes is attached, and will be available on the </w:t>
            </w:r>
            <w:hyperlink r:id="rId8" w:history="1">
              <w:r w:rsidRPr="00E62BA4">
                <w:rPr>
                  <w:rStyle w:val="Hyperlink"/>
                  <w:rFonts w:ascii="Aptos" w:hAnsi="Aptos"/>
                  <w:color w:val="2F5496" w:themeColor="accent5" w:themeShade="BF"/>
                  <w:sz w:val="24"/>
                  <w:szCs w:val="24"/>
                </w:rPr>
                <w:t>DVA website</w:t>
              </w:r>
            </w:hyperlink>
            <w:r w:rsidRPr="00E62BA4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prior to </w:t>
            </w:r>
            <w:r w:rsidR="00C61D3F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1 July 2025. </w:t>
            </w:r>
          </w:p>
          <w:p w14:paraId="4A7BD55D" w14:textId="5D02B1C7" w:rsidR="00035BB5" w:rsidRPr="00C15C28" w:rsidRDefault="00035BB5" w:rsidP="00035BB5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9527A" w:rsidRPr="00C15C28" w14:paraId="4A32AF4D" w14:textId="77777777" w:rsidTr="006024FB">
        <w:trPr>
          <w:trHeight w:val="3402"/>
        </w:trPr>
        <w:tc>
          <w:tcPr>
            <w:tcW w:w="11340" w:type="dxa"/>
            <w:tcBorders>
              <w:top w:val="nil"/>
            </w:tcBorders>
            <w:shd w:val="clear" w:color="auto" w:fill="CCCCFF"/>
          </w:tcPr>
          <w:p w14:paraId="33FE7323" w14:textId="77777777" w:rsidR="00893299" w:rsidRPr="00893299" w:rsidRDefault="00893299" w:rsidP="001A22A2">
            <w:pPr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1E2EEA14" w14:textId="4019CC7C" w:rsidR="0079527A" w:rsidRPr="001A38B5" w:rsidRDefault="00516EFB" w:rsidP="001A22A2">
            <w:pPr>
              <w:rPr>
                <w:rFonts w:ascii="Aptos" w:hAnsi="Aptos" w:cs="Arial"/>
                <w:color w:val="002060"/>
                <w:sz w:val="24"/>
                <w:szCs w:val="24"/>
              </w:rPr>
            </w:pPr>
            <w:r>
              <w:rPr>
                <w:rFonts w:ascii="Aptos" w:hAnsi="Aptos" w:cs="Arial"/>
                <w:color w:val="002060"/>
                <w:sz w:val="36"/>
                <w:szCs w:val="24"/>
              </w:rPr>
              <w:t xml:space="preserve">DVA </w:t>
            </w:r>
            <w:r w:rsidR="00A470C6">
              <w:rPr>
                <w:rFonts w:ascii="Aptos" w:hAnsi="Aptos" w:cs="Arial"/>
                <w:color w:val="002060"/>
                <w:sz w:val="36"/>
                <w:szCs w:val="24"/>
              </w:rPr>
              <w:t>Community Nursing Client Charter</w:t>
            </w:r>
            <w:r w:rsidR="00EB0823">
              <w:rPr>
                <w:rFonts w:ascii="Aptos" w:hAnsi="Aptos" w:cs="Arial"/>
                <w:color w:val="002060"/>
                <w:sz w:val="36"/>
                <w:szCs w:val="24"/>
              </w:rPr>
              <w:t xml:space="preserve"> </w:t>
            </w:r>
          </w:p>
          <w:p w14:paraId="13B9EF71" w14:textId="77777777" w:rsidR="00C61D3F" w:rsidRDefault="009311D8" w:rsidP="009311D8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A DVA Community Nursing Client Charter has been developed to provide clients with information about their rights and responsibilities when receiving DVA-funded community nursing services in their home. </w:t>
            </w:r>
          </w:p>
          <w:p w14:paraId="299EFA1E" w14:textId="77777777" w:rsidR="00C61D3F" w:rsidRDefault="00C61D3F" w:rsidP="009311D8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6C260719" w14:textId="08F86EFF" w:rsidR="009311D8" w:rsidRPr="009311D8" w:rsidRDefault="009311D8" w:rsidP="009311D8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The client charter also </w:t>
            </w:r>
            <w:r w:rsidR="00C61D3F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includes</w:t>
            </w:r>
            <w:r w:rsidR="00C61D3F"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pathways to provide feedback and seek support through DVA and external agencies, if needed. </w:t>
            </w:r>
            <w:r w:rsidR="00C61D3F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We ask that DVA</w:t>
            </w:r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Community Nursing providers advise their clients of the charter</w:t>
            </w:r>
            <w:r w:rsidR="00C61D3F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and provide a copy of</w:t>
            </w:r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the charter to clients as part the initial assessment, or during </w:t>
            </w:r>
            <w:r w:rsidR="00C61D3F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a </w:t>
            </w:r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review of the care plan for clients already receiving services. </w:t>
            </w:r>
          </w:p>
          <w:p w14:paraId="09EB36CE" w14:textId="77777777" w:rsidR="009311D8" w:rsidRPr="009311D8" w:rsidRDefault="009311D8" w:rsidP="009311D8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08D6C348" w14:textId="679813E4" w:rsidR="0079527A" w:rsidRPr="006364D0" w:rsidRDefault="009311D8" w:rsidP="001A22A2"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A copy of the DVA Community Nursing Client Charter has been provided with this newsletter and is available to download from the </w:t>
            </w:r>
            <w:hyperlink r:id="rId9" w:history="1">
              <w:r w:rsidRPr="009311D8">
                <w:rPr>
                  <w:rStyle w:val="Hyperlink"/>
                  <w:rFonts w:ascii="Aptos" w:hAnsi="Aptos"/>
                  <w:color w:val="2F5496" w:themeColor="accent5" w:themeShade="BF"/>
                  <w:sz w:val="24"/>
                  <w:szCs w:val="24"/>
                </w:rPr>
                <w:t>DVA website</w:t>
              </w:r>
            </w:hyperlink>
            <w:r w:rsidRPr="009311D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288D278A" w14:textId="79A614CB" w:rsidR="0079527A" w:rsidRPr="00C15C28" w:rsidRDefault="0079527A" w:rsidP="001A22A2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30B1511C" w14:textId="3FDC8AA7" w:rsidR="00035BB5" w:rsidRDefault="00035BB5"/>
    <w:sectPr w:rsidR="00035BB5" w:rsidSect="0009400E">
      <w:pgSz w:w="11906" w:h="16838" w:code="9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D5" w14:textId="77777777" w:rsidR="00F77F32" w:rsidRDefault="00F77F32" w:rsidP="00F77F32">
      <w:pPr>
        <w:spacing w:after="0" w:line="240" w:lineRule="auto"/>
      </w:pPr>
      <w:r>
        <w:separator/>
      </w:r>
    </w:p>
  </w:endnote>
  <w:endnote w:type="continuationSeparator" w:id="0">
    <w:p w14:paraId="1034204D" w14:textId="77777777" w:rsidR="00F77F32" w:rsidRDefault="00F77F32" w:rsidP="00F7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sGov DVA Stacked 4U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50B4" w14:textId="77777777" w:rsidR="00F77F32" w:rsidRDefault="00F77F32" w:rsidP="00F77F32">
      <w:pPr>
        <w:spacing w:after="0" w:line="240" w:lineRule="auto"/>
      </w:pPr>
      <w:r>
        <w:separator/>
      </w:r>
    </w:p>
  </w:footnote>
  <w:footnote w:type="continuationSeparator" w:id="0">
    <w:p w14:paraId="612D0890" w14:textId="77777777" w:rsidR="00F77F32" w:rsidRDefault="00F77F32" w:rsidP="00F7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929"/>
    <w:multiLevelType w:val="hybridMultilevel"/>
    <w:tmpl w:val="E30CD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3287"/>
    <w:multiLevelType w:val="hybridMultilevel"/>
    <w:tmpl w:val="5D840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2413D"/>
    <w:multiLevelType w:val="hybridMultilevel"/>
    <w:tmpl w:val="29224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9079B"/>
    <w:multiLevelType w:val="hybridMultilevel"/>
    <w:tmpl w:val="A59C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A7F"/>
    <w:multiLevelType w:val="hybridMultilevel"/>
    <w:tmpl w:val="C3321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0214">
    <w:abstractNumId w:val="4"/>
  </w:num>
  <w:num w:numId="2" w16cid:durableId="1618563254">
    <w:abstractNumId w:val="1"/>
  </w:num>
  <w:num w:numId="3" w16cid:durableId="273753203">
    <w:abstractNumId w:val="0"/>
  </w:num>
  <w:num w:numId="4" w16cid:durableId="471682491">
    <w:abstractNumId w:val="3"/>
  </w:num>
  <w:num w:numId="5" w16cid:durableId="4083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14"/>
    <w:rsid w:val="000077A5"/>
    <w:rsid w:val="000225C5"/>
    <w:rsid w:val="00034C58"/>
    <w:rsid w:val="00035BB5"/>
    <w:rsid w:val="00064387"/>
    <w:rsid w:val="0009400E"/>
    <w:rsid w:val="000B2654"/>
    <w:rsid w:val="000C1DAF"/>
    <w:rsid w:val="000E428B"/>
    <w:rsid w:val="00121943"/>
    <w:rsid w:val="0012303C"/>
    <w:rsid w:val="001465AB"/>
    <w:rsid w:val="00193063"/>
    <w:rsid w:val="001A22A2"/>
    <w:rsid w:val="001A38B5"/>
    <w:rsid w:val="001B78B3"/>
    <w:rsid w:val="001C1876"/>
    <w:rsid w:val="00296CD9"/>
    <w:rsid w:val="002A6132"/>
    <w:rsid w:val="002A78B2"/>
    <w:rsid w:val="002C181B"/>
    <w:rsid w:val="002E17BC"/>
    <w:rsid w:val="003016AF"/>
    <w:rsid w:val="003577E2"/>
    <w:rsid w:val="003A047F"/>
    <w:rsid w:val="003A1BB5"/>
    <w:rsid w:val="003B2965"/>
    <w:rsid w:val="003C2165"/>
    <w:rsid w:val="003C7281"/>
    <w:rsid w:val="003C74B3"/>
    <w:rsid w:val="003E403E"/>
    <w:rsid w:val="003E4EFB"/>
    <w:rsid w:val="00402BB5"/>
    <w:rsid w:val="0041658F"/>
    <w:rsid w:val="00481921"/>
    <w:rsid w:val="004C611E"/>
    <w:rsid w:val="004E31C3"/>
    <w:rsid w:val="00516EFB"/>
    <w:rsid w:val="00530FFD"/>
    <w:rsid w:val="00557CB5"/>
    <w:rsid w:val="005C4878"/>
    <w:rsid w:val="005E0809"/>
    <w:rsid w:val="005F1B1E"/>
    <w:rsid w:val="005F22AA"/>
    <w:rsid w:val="00607EFA"/>
    <w:rsid w:val="00626AF9"/>
    <w:rsid w:val="006364D0"/>
    <w:rsid w:val="00644953"/>
    <w:rsid w:val="00662FEB"/>
    <w:rsid w:val="006D3140"/>
    <w:rsid w:val="006E220C"/>
    <w:rsid w:val="006F6FD9"/>
    <w:rsid w:val="007175CF"/>
    <w:rsid w:val="0075208A"/>
    <w:rsid w:val="00760E23"/>
    <w:rsid w:val="0079527A"/>
    <w:rsid w:val="007A06EE"/>
    <w:rsid w:val="007C2981"/>
    <w:rsid w:val="007D1BFE"/>
    <w:rsid w:val="00802392"/>
    <w:rsid w:val="00807C2B"/>
    <w:rsid w:val="00893299"/>
    <w:rsid w:val="008C7EEF"/>
    <w:rsid w:val="008F596B"/>
    <w:rsid w:val="0090703A"/>
    <w:rsid w:val="0090736B"/>
    <w:rsid w:val="00920037"/>
    <w:rsid w:val="00931014"/>
    <w:rsid w:val="009311D8"/>
    <w:rsid w:val="00A45655"/>
    <w:rsid w:val="00A470C6"/>
    <w:rsid w:val="00A514FB"/>
    <w:rsid w:val="00A55C38"/>
    <w:rsid w:val="00A55EC9"/>
    <w:rsid w:val="00A87B14"/>
    <w:rsid w:val="00AC750B"/>
    <w:rsid w:val="00AD021C"/>
    <w:rsid w:val="00AE1643"/>
    <w:rsid w:val="00AE1C40"/>
    <w:rsid w:val="00AE339C"/>
    <w:rsid w:val="00B335B6"/>
    <w:rsid w:val="00B40263"/>
    <w:rsid w:val="00B57B2C"/>
    <w:rsid w:val="00BB2CB3"/>
    <w:rsid w:val="00BD1E0D"/>
    <w:rsid w:val="00BF1725"/>
    <w:rsid w:val="00C0740B"/>
    <w:rsid w:val="00C15C28"/>
    <w:rsid w:val="00C51A76"/>
    <w:rsid w:val="00C56B86"/>
    <w:rsid w:val="00C61D3F"/>
    <w:rsid w:val="00C76015"/>
    <w:rsid w:val="00D0231D"/>
    <w:rsid w:val="00E220B7"/>
    <w:rsid w:val="00E22A42"/>
    <w:rsid w:val="00E62BA4"/>
    <w:rsid w:val="00EA75E0"/>
    <w:rsid w:val="00EB0823"/>
    <w:rsid w:val="00ED65B1"/>
    <w:rsid w:val="00EE3826"/>
    <w:rsid w:val="00F25652"/>
    <w:rsid w:val="00F3209F"/>
    <w:rsid w:val="00F55403"/>
    <w:rsid w:val="00F77F32"/>
    <w:rsid w:val="00FB3F18"/>
    <w:rsid w:val="00FC5FE2"/>
    <w:rsid w:val="00FE132A"/>
    <w:rsid w:val="00FE7029"/>
    <w:rsid w:val="00FF2186"/>
    <w:rsid w:val="051C068A"/>
    <w:rsid w:val="0795CB80"/>
    <w:rsid w:val="0C7A1D6B"/>
    <w:rsid w:val="11A425F6"/>
    <w:rsid w:val="1412A367"/>
    <w:rsid w:val="1801DDDF"/>
    <w:rsid w:val="1D8549F6"/>
    <w:rsid w:val="2433DBE5"/>
    <w:rsid w:val="3A9CF1A8"/>
    <w:rsid w:val="3F10D821"/>
    <w:rsid w:val="453796E1"/>
    <w:rsid w:val="4DF2A3BA"/>
    <w:rsid w:val="5F83670A"/>
    <w:rsid w:val="6222A19E"/>
    <w:rsid w:val="631047FA"/>
    <w:rsid w:val="64083FA6"/>
    <w:rsid w:val="6B74FAA7"/>
    <w:rsid w:val="6BEF68B0"/>
    <w:rsid w:val="74DB431D"/>
    <w:rsid w:val="757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24114"/>
  <w15:chartTrackingRefBased/>
  <w15:docId w15:val="{253282DB-1766-4882-8F3B-777DBDAF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25652"/>
    <w:rPr>
      <w:color w:val="0563C1"/>
      <w:u w:val="single"/>
    </w:rPr>
  </w:style>
  <w:style w:type="table" w:styleId="PlainTable4">
    <w:name w:val="Plain Table 4"/>
    <w:basedOn w:val="TableNormal"/>
    <w:uiPriority w:val="44"/>
    <w:rsid w:val="00F25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E0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74B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61D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32"/>
  </w:style>
  <w:style w:type="paragraph" w:styleId="Footer">
    <w:name w:val="footer"/>
    <w:basedOn w:val="Normal"/>
    <w:link w:val="FooterChar"/>
    <w:uiPriority w:val="99"/>
    <w:unhideWhenUsed/>
    <w:rsid w:val="00F7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a.gov.au/get-support/providers/programs-services/community-nursing-services-and-providers/information-dva-approved-community-nursing-provi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va.gov.au/get-support/health-support/care-home-or-aged-care/services-support-you-home/community-nur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Thurbon, Teresa</cp:lastModifiedBy>
  <cp:revision>2</cp:revision>
  <dcterms:created xsi:type="dcterms:W3CDTF">2025-06-23T00:47:00Z</dcterms:created>
  <dcterms:modified xsi:type="dcterms:W3CDTF">2025-06-23T00:47:00Z</dcterms:modified>
</cp:coreProperties>
</file>