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92C1" w14:textId="4EFD777F" w:rsidR="003E716E" w:rsidRDefault="003E716E">
      <w:r w:rsidRPr="003E716E">
        <w:rPr>
          <w:b/>
          <w:bCs/>
        </w:rPr>
        <w:t xml:space="preserve">Defence/DVA Executive Committee (DDEC) - Meeting Summary – </w:t>
      </w:r>
      <w:r w:rsidR="00355E2D">
        <w:rPr>
          <w:b/>
          <w:bCs/>
        </w:rPr>
        <w:t>10 October</w:t>
      </w:r>
      <w:r w:rsidRPr="003E716E">
        <w:rPr>
          <w:b/>
          <w:bCs/>
        </w:rPr>
        <w:t xml:space="preserve"> 2024</w:t>
      </w:r>
    </w:p>
    <w:p w14:paraId="27C69EDF" w14:textId="2EEACA5B" w:rsidR="00756AA3" w:rsidRDefault="00756AA3">
      <w:r w:rsidRPr="00756AA3">
        <w:t>The meeting was held at Russell Offices (Defence).</w:t>
      </w:r>
    </w:p>
    <w:p w14:paraId="1553A569" w14:textId="389730F5" w:rsidR="00756AA3" w:rsidRDefault="00756AA3">
      <w:r w:rsidRPr="00756AA3">
        <w:t>Meeting Attendees:</w:t>
      </w:r>
    </w:p>
    <w:tbl>
      <w:tblPr>
        <w:tblStyle w:val="TableGrid1"/>
        <w:tblW w:w="10211" w:type="dxa"/>
        <w:tblInd w:w="-5" w:type="dxa"/>
        <w:tblLook w:val="04A0" w:firstRow="1" w:lastRow="0" w:firstColumn="1" w:lastColumn="0" w:noHBand="0" w:noVBand="1"/>
      </w:tblPr>
      <w:tblGrid>
        <w:gridCol w:w="4400"/>
        <w:gridCol w:w="5811"/>
      </w:tblGrid>
      <w:tr w:rsidR="00756AA3" w14:paraId="39A956B5" w14:textId="77777777" w:rsidTr="00AD1772">
        <w:tc>
          <w:tcPr>
            <w:tcW w:w="102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42BBCCB7" w14:textId="7811A0DB" w:rsidR="00756AA3" w:rsidRPr="00837B6C" w:rsidRDefault="000970BC" w:rsidP="0018681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Defence</w:t>
            </w:r>
          </w:p>
        </w:tc>
      </w:tr>
      <w:tr w:rsidR="00756AA3" w14:paraId="2DADA7C6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02982" w14:textId="77777777" w:rsidR="00756AA3" w:rsidRPr="00867AB3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 xml:space="preserve">Mr Greg Moriarty 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F52C34" w14:textId="77777777" w:rsidR="00756AA3" w:rsidRPr="00867AB3" w:rsidRDefault="00756AA3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Secretary, Department of Defence</w:t>
            </w:r>
          </w:p>
        </w:tc>
      </w:tr>
      <w:tr w:rsidR="00756AA3" w14:paraId="5449EA63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0A2B72" w14:textId="3408A34F" w:rsidR="00756AA3" w:rsidRPr="00867AB3" w:rsidRDefault="00355E2D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355E2D">
              <w:rPr>
                <w:rFonts w:ascii="Arial" w:eastAsia="Calibri" w:hAnsi="Arial" w:cs="Arial"/>
              </w:rPr>
              <w:t>Admiral David Johnston AC RAN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1B06B" w14:textId="77777777" w:rsidR="00756AA3" w:rsidRPr="00867AB3" w:rsidRDefault="00756AA3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867AB3">
              <w:rPr>
                <w:rFonts w:ascii="Arial" w:eastAsia="Calibri" w:hAnsi="Arial" w:cs="Arial"/>
              </w:rPr>
              <w:t>Chief of the Defence Force</w:t>
            </w:r>
          </w:p>
        </w:tc>
      </w:tr>
      <w:tr w:rsidR="00756AA3" w14:paraId="5CB7F31E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B1B900" w14:textId="00A1D94A" w:rsidR="00756AA3" w:rsidRPr="00867AB3" w:rsidRDefault="000970BC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D8451A">
              <w:rPr>
                <w:rFonts w:ascii="Arial" w:hAnsi="Arial" w:cs="Arial"/>
              </w:rPr>
              <w:t xml:space="preserve">Mr Matt </w:t>
            </w:r>
            <w:proofErr w:type="spellStart"/>
            <w:r w:rsidRPr="00D8451A">
              <w:rPr>
                <w:rFonts w:ascii="Arial" w:hAnsi="Arial" w:cs="Arial"/>
              </w:rPr>
              <w:t>Yannopoulos</w:t>
            </w:r>
            <w:proofErr w:type="spellEnd"/>
            <w:r>
              <w:rPr>
                <w:rFonts w:ascii="Arial" w:hAnsi="Arial" w:cs="Arial"/>
              </w:rPr>
              <w:t xml:space="preserve">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12F117" w14:textId="6CBBBE23" w:rsidR="00756AA3" w:rsidRPr="00867AB3" w:rsidRDefault="000970BC" w:rsidP="00186811">
            <w:pPr>
              <w:tabs>
                <w:tab w:val="left" w:pos="3828"/>
              </w:tabs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Associate Secretary</w:t>
            </w:r>
          </w:p>
        </w:tc>
      </w:tr>
      <w:tr w:rsidR="00756AA3" w14:paraId="18CDEFBD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F6B818" w14:textId="6A793B7A" w:rsidR="00756AA3" w:rsidRPr="00D8451A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D8451A">
              <w:rPr>
                <w:rFonts w:ascii="Arial" w:hAnsi="Arial" w:cs="Arial"/>
              </w:rPr>
              <w:t>Ms Justine Greig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011D4C" w14:textId="11A3AD9A" w:rsidR="00756AA3" w:rsidRPr="00EE06A0" w:rsidRDefault="00756AA3" w:rsidP="00756AA3">
            <w:pPr>
              <w:rPr>
                <w:rFonts w:ascii="Arial" w:eastAsia="Calibri" w:hAnsi="Arial" w:cs="Arial"/>
              </w:rPr>
            </w:pPr>
            <w:r w:rsidRPr="00EE06A0">
              <w:rPr>
                <w:rFonts w:ascii="Arial" w:eastAsia="Calibri" w:hAnsi="Arial" w:cs="Arial"/>
              </w:rPr>
              <w:t>Deputy Secretary</w:t>
            </w:r>
            <w:r w:rsidRPr="00EE06A0">
              <w:rPr>
                <w:rFonts w:ascii="Arial" w:hAnsi="Arial" w:cs="Arial"/>
              </w:rPr>
              <w:t xml:space="preserve"> Defence People</w:t>
            </w:r>
          </w:p>
        </w:tc>
      </w:tr>
      <w:tr w:rsidR="00756AA3" w14:paraId="0C0FD904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0B5094" w14:textId="0BDB5CF3" w:rsidR="00756AA3" w:rsidRPr="00D8451A" w:rsidRDefault="000970BC" w:rsidP="00756AA3">
            <w:pPr>
              <w:spacing w:before="60" w:after="60"/>
              <w:rPr>
                <w:rFonts w:ascii="Arial" w:hAnsi="Arial" w:cs="Arial"/>
              </w:rPr>
            </w:pPr>
            <w:r w:rsidRPr="002F2E1D">
              <w:rPr>
                <w:rFonts w:ascii="Arial" w:eastAsia="Calibri" w:hAnsi="Arial" w:cs="Arial"/>
              </w:rPr>
              <w:t>LTGEN Natasha Fox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1F1FB2" w14:textId="27829A77" w:rsidR="00756AA3" w:rsidRPr="00EE06A0" w:rsidRDefault="000970BC" w:rsidP="00756AA3">
            <w:pPr>
              <w:rPr>
                <w:rFonts w:ascii="Arial" w:eastAsia="Calibri" w:hAnsi="Arial" w:cs="Arial"/>
              </w:rPr>
            </w:pPr>
            <w:r w:rsidRPr="000970BC">
              <w:rPr>
                <w:rFonts w:ascii="Arial" w:hAnsi="Arial" w:cs="Arial"/>
              </w:rPr>
              <w:t>Chief of Personnel</w:t>
            </w:r>
          </w:p>
        </w:tc>
      </w:tr>
      <w:tr w:rsidR="000970BC" w14:paraId="22CA3814" w14:textId="77777777" w:rsidTr="00AD1772">
        <w:tc>
          <w:tcPr>
            <w:tcW w:w="102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F2D0" w:themeFill="accent6" w:themeFillTint="33"/>
            <w:vAlign w:val="center"/>
          </w:tcPr>
          <w:p w14:paraId="4ED37F5F" w14:textId="7AD252EA" w:rsidR="000970BC" w:rsidRPr="00EE06A0" w:rsidRDefault="000970BC" w:rsidP="00756AA3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Department of Veterans’ Affairs (DVA)</w:t>
            </w:r>
          </w:p>
        </w:tc>
      </w:tr>
      <w:tr w:rsidR="000970BC" w14:paraId="1B12B3EB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0B56E9" w14:textId="0D16E4F9" w:rsidR="000970BC" w:rsidRPr="00355E2D" w:rsidRDefault="000970BC" w:rsidP="000970BC">
            <w:pPr>
              <w:spacing w:before="60" w:after="60"/>
              <w:rPr>
                <w:rFonts w:ascii="Arial" w:eastAsia="Calibri" w:hAnsi="Arial" w:cs="Arial"/>
              </w:rPr>
            </w:pPr>
            <w:r w:rsidRPr="00867AB3">
              <w:rPr>
                <w:rFonts w:ascii="Arial" w:eastAsia="Calibri" w:hAnsi="Arial" w:cs="Arial"/>
              </w:rPr>
              <w:t>Ms Alison Frame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209E7" w14:textId="492220ED" w:rsidR="000970BC" w:rsidRPr="00EE06A0" w:rsidRDefault="000970BC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0970BC">
              <w:rPr>
                <w:rFonts w:ascii="Arial" w:eastAsia="Calibri" w:hAnsi="Arial" w:cs="Arial"/>
              </w:rPr>
              <w:t>Secretary DVA</w:t>
            </w:r>
          </w:p>
        </w:tc>
      </w:tr>
      <w:tr w:rsidR="000970BC" w14:paraId="07BFAC54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F83D25" w14:textId="3F065C34" w:rsidR="000970BC" w:rsidRPr="00867AB3" w:rsidRDefault="000970BC" w:rsidP="000970BC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Ms Alison McLaren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4EB698" w14:textId="2E3D65CF" w:rsidR="000970BC" w:rsidRPr="00867AB3" w:rsidRDefault="000970BC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0970BC">
              <w:rPr>
                <w:rFonts w:ascii="Arial" w:eastAsia="Calibri" w:hAnsi="Arial" w:cs="Arial"/>
              </w:rPr>
              <w:t>A/g Chief Operating Officer &amp; Deputy Secretary</w:t>
            </w:r>
          </w:p>
        </w:tc>
      </w:tr>
      <w:tr w:rsidR="000970BC" w14:paraId="33FDC745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F6F114" w14:textId="7F74E7F4" w:rsidR="000970BC" w:rsidRDefault="000970BC" w:rsidP="000970BC">
            <w:pPr>
              <w:spacing w:before="60" w:after="60"/>
              <w:rPr>
                <w:rFonts w:ascii="Arial" w:eastAsia="Calibri" w:hAnsi="Arial" w:cs="Arial"/>
              </w:rPr>
            </w:pPr>
            <w:r w:rsidRPr="00355E2D">
              <w:rPr>
                <w:rFonts w:ascii="Arial" w:eastAsia="Calibri" w:hAnsi="Arial" w:cs="Arial"/>
              </w:rPr>
              <w:t>Mr Mark Brewer AM CSC and Bar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8B7B15" w14:textId="7BA239EC" w:rsidR="000970BC" w:rsidRPr="000970BC" w:rsidRDefault="000970BC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0970BC">
              <w:rPr>
                <w:rFonts w:ascii="Arial" w:eastAsia="Calibri" w:hAnsi="Arial" w:cs="Arial"/>
              </w:rPr>
              <w:t>A/g Deputy President Repatriation Commission</w:t>
            </w:r>
          </w:p>
        </w:tc>
      </w:tr>
      <w:tr w:rsidR="000970BC" w14:paraId="18D07B09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8508E8" w14:textId="01D9A854" w:rsidR="000970BC" w:rsidRPr="00355E2D" w:rsidRDefault="000970BC" w:rsidP="000970BC">
            <w:pPr>
              <w:spacing w:before="60" w:after="60"/>
              <w:rPr>
                <w:rFonts w:ascii="Arial" w:eastAsia="Calibri" w:hAnsi="Arial" w:cs="Arial"/>
              </w:rPr>
            </w:pPr>
            <w:r w:rsidRPr="000970BC">
              <w:rPr>
                <w:rFonts w:ascii="Arial" w:eastAsia="Calibri" w:hAnsi="Arial" w:cs="Arial"/>
              </w:rPr>
              <w:t>Ms Leanne Cameron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B39E66" w14:textId="2AAE5465" w:rsidR="000970BC" w:rsidRPr="000970BC" w:rsidRDefault="000970BC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A/g Deputy Secretary </w:t>
            </w:r>
            <w:r w:rsidRPr="000970BC">
              <w:rPr>
                <w:rFonts w:ascii="Arial" w:eastAsia="Calibri" w:hAnsi="Arial" w:cs="Arial"/>
              </w:rPr>
              <w:t>Veteran Family &amp; Stakeholder</w:t>
            </w:r>
            <w:r>
              <w:rPr>
                <w:rFonts w:ascii="Arial" w:eastAsia="Calibri" w:hAnsi="Arial" w:cs="Arial"/>
              </w:rPr>
              <w:t xml:space="preserve"> Experience</w:t>
            </w:r>
          </w:p>
        </w:tc>
      </w:tr>
      <w:tr w:rsidR="00AD1772" w14:paraId="582C7D15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A97516" w14:textId="453CE6A1" w:rsidR="00AD1772" w:rsidRPr="000970BC" w:rsidRDefault="00AD1772" w:rsidP="000970BC">
            <w:pPr>
              <w:spacing w:before="60" w:after="60"/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Mr Andrew Kefford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FDAEED" w14:textId="397863E9" w:rsidR="00AD1772" w:rsidRDefault="00AD1772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Deputy Secretary Policy &amp; Programs</w:t>
            </w:r>
          </w:p>
        </w:tc>
      </w:tr>
      <w:tr w:rsidR="00AD1772" w14:paraId="6E4B8060" w14:textId="77777777" w:rsidTr="00AD1772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A33288" w14:textId="1307BAF1" w:rsidR="00AD1772" w:rsidRPr="00AD1772" w:rsidRDefault="00AD1772" w:rsidP="000970BC">
            <w:pPr>
              <w:spacing w:before="60" w:after="60"/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Mr Kahlil Fegan DSC AM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D638BE" w14:textId="2615B3B6" w:rsidR="00AD1772" w:rsidRPr="00AD1772" w:rsidRDefault="00AD1772" w:rsidP="000970BC">
            <w:pPr>
              <w:tabs>
                <w:tab w:val="left" w:pos="3828"/>
              </w:tabs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Repatriation Commissioner, Repatriation Commission</w:t>
            </w:r>
          </w:p>
        </w:tc>
      </w:tr>
      <w:tr w:rsidR="00756AA3" w14:paraId="2BA18A4B" w14:textId="77777777" w:rsidTr="00AD1772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6B22A85B" w14:textId="77777777" w:rsidR="00756AA3" w:rsidRPr="00EE06A0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hAnsi="Arial" w:cs="Arial"/>
              </w:rPr>
              <w:t>Observers</w:t>
            </w:r>
          </w:p>
        </w:tc>
      </w:tr>
      <w:tr w:rsidR="00756AA3" w14:paraId="5EAEEA9B" w14:textId="77777777" w:rsidTr="00AD1772">
        <w:trPr>
          <w:trHeight w:val="621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C170B7" w14:textId="77777777" w:rsidR="00756AA3" w:rsidRPr="00D8451A" w:rsidRDefault="00756AA3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eastAsia="Calibri" w:hAnsi="Arial" w:cs="Arial"/>
              </w:rPr>
              <w:t>MAJGEN Wade Stothart DSC, AM, CSC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30A821" w14:textId="0C131E05" w:rsidR="00756AA3" w:rsidRPr="00EE06A0" w:rsidRDefault="00AD1772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eastAsia="Calibri" w:hAnsi="Arial" w:cs="Arial"/>
              </w:rPr>
              <w:t>Head Military Personnel Department of Defence</w:t>
            </w:r>
          </w:p>
        </w:tc>
      </w:tr>
      <w:tr w:rsidR="00AD1772" w14:paraId="6DA21035" w14:textId="77777777" w:rsidTr="00AD1772">
        <w:trPr>
          <w:trHeight w:val="621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C72A66" w14:textId="5C1AE805" w:rsidR="00AD1772" w:rsidRPr="00EE06A0" w:rsidRDefault="00AD1772" w:rsidP="00756AA3">
            <w:pPr>
              <w:tabs>
                <w:tab w:val="left" w:pos="3828"/>
              </w:tabs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Ms Paula Goodwin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B82EE8" w14:textId="77777777" w:rsidR="00AD1772" w:rsidRPr="00AD1772" w:rsidRDefault="00AD1772" w:rsidP="00AD1772">
            <w:pPr>
              <w:tabs>
                <w:tab w:val="left" w:pos="3828"/>
              </w:tabs>
              <w:spacing w:before="60" w:after="60"/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First Assistant Secretary Ministerial Engagement &amp;</w:t>
            </w:r>
          </w:p>
          <w:p w14:paraId="6DB25635" w14:textId="42EC60A2" w:rsidR="00AD1772" w:rsidRPr="00AD1772" w:rsidRDefault="00AD1772" w:rsidP="00AD1772">
            <w:pPr>
              <w:tabs>
                <w:tab w:val="left" w:pos="3828"/>
              </w:tabs>
              <w:spacing w:before="60" w:after="60"/>
              <w:rPr>
                <w:rFonts w:ascii="Arial" w:eastAsia="Calibri" w:hAnsi="Arial" w:cs="Arial"/>
              </w:rPr>
            </w:pPr>
            <w:r w:rsidRPr="00AD1772">
              <w:rPr>
                <w:rFonts w:ascii="Arial" w:eastAsia="Calibri" w:hAnsi="Arial" w:cs="Arial"/>
              </w:rPr>
              <w:t>Communications DVA</w:t>
            </w:r>
          </w:p>
        </w:tc>
      </w:tr>
      <w:tr w:rsidR="00756AA3" w14:paraId="62462116" w14:textId="77777777" w:rsidTr="00AD1772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776B165F" w14:textId="77777777" w:rsidR="00756AA3" w:rsidRPr="00EE06A0" w:rsidRDefault="00756AA3" w:rsidP="00756AA3">
            <w:pPr>
              <w:spacing w:before="60" w:after="60"/>
              <w:rPr>
                <w:rFonts w:ascii="Arial" w:hAnsi="Arial" w:cs="Arial"/>
              </w:rPr>
            </w:pPr>
            <w:r w:rsidRPr="00EE06A0">
              <w:rPr>
                <w:rFonts w:ascii="Arial" w:hAnsi="Arial" w:cs="Arial"/>
              </w:rPr>
              <w:t>Secretariat</w:t>
            </w:r>
          </w:p>
        </w:tc>
      </w:tr>
      <w:tr w:rsidR="00756AA3" w14:paraId="1E939DB9" w14:textId="77777777" w:rsidTr="00AD1772">
        <w:trPr>
          <w:trHeight w:val="593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703C75" w14:textId="61378589" w:rsidR="00756AA3" w:rsidRPr="00D8451A" w:rsidRDefault="00AD1772" w:rsidP="00756AA3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hAnsi="Arial" w:cs="Arial"/>
              </w:rPr>
              <w:t>Ms Monica Vella (proxy)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77EC96" w14:textId="77777777" w:rsidR="00AD1772" w:rsidRPr="00AD1772" w:rsidRDefault="00AD1772" w:rsidP="00AD1772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hAnsi="Arial" w:cs="Arial"/>
              </w:rPr>
              <w:t>A/g Director General Joint Transition Authority</w:t>
            </w:r>
          </w:p>
          <w:p w14:paraId="67CC2AD2" w14:textId="7BBBDA14" w:rsidR="00756AA3" w:rsidRPr="00EE06A0" w:rsidRDefault="00AD1772" w:rsidP="00AD1772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hAnsi="Arial" w:cs="Arial"/>
              </w:rPr>
              <w:t>Department of Defence</w:t>
            </w:r>
          </w:p>
        </w:tc>
      </w:tr>
      <w:tr w:rsidR="00AD1772" w:rsidRPr="00EE06A0" w14:paraId="77F020E1" w14:textId="77777777" w:rsidTr="00AD1772">
        <w:tc>
          <w:tcPr>
            <w:tcW w:w="1020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9F2D0" w:themeFill="accent6" w:themeFillTint="33"/>
          </w:tcPr>
          <w:p w14:paraId="3C0DC94B" w14:textId="4E60D3A6" w:rsidR="00AD1772" w:rsidRPr="00EE06A0" w:rsidRDefault="00AD1772" w:rsidP="00DD20C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</w:tr>
      <w:tr w:rsidR="00AD1772" w:rsidRPr="00EE06A0" w14:paraId="492AC20E" w14:textId="77777777" w:rsidTr="00AD1772">
        <w:trPr>
          <w:trHeight w:val="593"/>
        </w:trPr>
        <w:tc>
          <w:tcPr>
            <w:tcW w:w="43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2A4163" w14:textId="5D62AD32" w:rsidR="00AD1772" w:rsidRPr="00D8451A" w:rsidRDefault="00AD1772" w:rsidP="00DD20CA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hAnsi="Arial" w:cs="Arial"/>
              </w:rPr>
              <w:t>AIRCDRE Kaarin Kooij CSC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1B514D" w14:textId="33C32AA0" w:rsidR="00AD1772" w:rsidRPr="00EE06A0" w:rsidRDefault="00AD1772" w:rsidP="00AD1772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  <w:r w:rsidRPr="00AD1772">
              <w:rPr>
                <w:rFonts w:ascii="Arial" w:hAnsi="Arial" w:cs="Arial"/>
              </w:rPr>
              <w:t>Director General Joint Transition Authority Defence</w:t>
            </w:r>
          </w:p>
          <w:p w14:paraId="450AC4C0" w14:textId="52F77E11" w:rsidR="00AD1772" w:rsidRPr="00EE06A0" w:rsidRDefault="00AD1772" w:rsidP="00DD20CA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24217BDE" w14:textId="2B4CA4BD" w:rsidR="00CD39B0" w:rsidRDefault="00CD39B0">
      <w:pPr>
        <w:rPr>
          <w:rFonts w:ascii="Arial" w:hAnsi="Arial" w:cs="Arial"/>
          <w:b/>
          <w:sz w:val="22"/>
          <w:szCs w:val="22"/>
        </w:rPr>
      </w:pPr>
    </w:p>
    <w:p w14:paraId="6C8DE01F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1 - Opening Remarks and Introductions</w:t>
      </w:r>
    </w:p>
    <w:p w14:paraId="19DBEF23" w14:textId="77777777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Mr Moriarty led introductions and opening remarks.</w:t>
      </w:r>
    </w:p>
    <w:p w14:paraId="2571DE85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2 - Recommendations of the Royal Commission</w:t>
      </w:r>
    </w:p>
    <w:p w14:paraId="68445C63" w14:textId="48923141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Mr Moriarty and Ms Frame led a discussion on the Royal Commission into Defence and Veteran Suicide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(RCDVS) Final Report and its recommendations. It was agreed there should be a focus on co-design.</w:t>
      </w:r>
    </w:p>
    <w:p w14:paraId="0F895D6D" w14:textId="45566071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Sequencing of activities was important, and legislative changes would be required for some of the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recommendations.</w:t>
      </w:r>
    </w:p>
    <w:p w14:paraId="771299D7" w14:textId="23D1D5BF" w:rsid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lastRenderedPageBreak/>
        <w:t>Both departments agreed to work closely together on the progress of the RCDVS recommendations.</w:t>
      </w:r>
    </w:p>
    <w:p w14:paraId="34D7D9A9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3 - Governance - Memorandum of Understanding (MOD) &amp; Schedules</w:t>
      </w:r>
    </w:p>
    <w:p w14:paraId="4A84621C" w14:textId="5F330A10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Led by LTGEN Fox. It was noted that there were 11 active schedules, of which 8 required updating.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Outdated schedules would be updated and presented to the Defence Links Steering Committee for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endorsement.</w:t>
      </w:r>
    </w:p>
    <w:p w14:paraId="26DAE7D1" w14:textId="5B78C86A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Schedule 6 (the agreement between Defence and DVA for the Provision of Mental Health Support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Services by WCS to the ADF) required a complete rewrite to enable Defence referral to Open Arms for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garrison health services, transition support services and family support services.</w:t>
      </w:r>
    </w:p>
    <w:p w14:paraId="36FC0B3A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4 - Partnerships</w:t>
      </w:r>
    </w:p>
    <w:p w14:paraId="18716D9B" w14:textId="6F0C0F33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A number of strategies and action plans had been finalised and were with Ministers for their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consideration. The Adaptive Sport inquiry response to the Senate was close to completion.</w:t>
      </w:r>
    </w:p>
    <w:p w14:paraId="0F0D11C3" w14:textId="46D3BD6A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The DDEC members noted that the timing of release of multiple strategies required consideration.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An underpinning narrative was needed and would likely focus on the RCDVS.</w:t>
      </w:r>
    </w:p>
    <w:p w14:paraId="599539CD" w14:textId="68938B3B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5 - Defence/DVA Data Sharing - Data Sharing and Analytics Solution (DSAS)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E2D">
        <w:rPr>
          <w:rFonts w:ascii="Arial" w:hAnsi="Arial" w:cs="Arial"/>
          <w:b/>
          <w:bCs/>
          <w:sz w:val="22"/>
          <w:szCs w:val="22"/>
        </w:rPr>
        <w:t>Consent Campaign</w:t>
      </w:r>
    </w:p>
    <w:p w14:paraId="4F019152" w14:textId="48ECE402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Ms Frame led the discussion on the importance of data sharing to maintain integrity in the claims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process. Data sharing would assist both departments with duty of care obligations, especially to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vulnerable members. Data sharing would assist both Departments with duty of care obligations.</w:t>
      </w:r>
    </w:p>
    <w:p w14:paraId="6C5AC640" w14:textId="517F9431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The DSAS system build had been finalised, along with a set of metrics for research for the veterans'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longitudinal wellbeing study. Legislative change for 'opt-out' to facilitate the research was being sought.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If agreed, this would be the first step in meeting Rec 107 of the RCDVS recommendations.</w:t>
      </w:r>
    </w:p>
    <w:p w14:paraId="1B7044A6" w14:textId="3D2F3F5E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JP2060 User Acceptance Testing concerns would be mitigated with a soft launch in December 2024,</w:t>
      </w:r>
      <w:r w:rsidR="00C27D44"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providing additional time for testing.</w:t>
      </w:r>
    </w:p>
    <w:p w14:paraId="3D06618E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6 - Commemorations Review - Timor 25</w:t>
      </w:r>
    </w:p>
    <w:p w14:paraId="67C4A842" w14:textId="206D29F0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The Timor 25 National Commemorative Service attracted 510 in-person attendees. It was broadcast by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the ABC with a 35, 000 viewership. Ms Frame noted DVA was considering options for a small investment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in Timor Leste which may encourage veterans to return to Timor Leste.</w:t>
      </w:r>
    </w:p>
    <w:p w14:paraId="543D30FA" w14:textId="0D3752F8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Conversely, The Pathway to Peace and Solidarity seminar was not well attended. An After Action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Report would be conducted and include suggested improvements to event communication.</w:t>
      </w:r>
    </w:p>
    <w:p w14:paraId="4A8CC00F" w14:textId="77777777" w:rsidR="00355E2D" w:rsidRPr="00355E2D" w:rsidRDefault="00355E2D" w:rsidP="00355E2D">
      <w:pPr>
        <w:rPr>
          <w:rFonts w:ascii="Arial" w:hAnsi="Arial" w:cs="Arial"/>
          <w:b/>
          <w:bCs/>
          <w:sz w:val="22"/>
          <w:szCs w:val="22"/>
        </w:rPr>
      </w:pPr>
      <w:r w:rsidRPr="00355E2D">
        <w:rPr>
          <w:rFonts w:ascii="Arial" w:hAnsi="Arial" w:cs="Arial"/>
          <w:b/>
          <w:bCs/>
          <w:sz w:val="22"/>
          <w:szCs w:val="22"/>
        </w:rPr>
        <w:t>Agenda Item 7 - Joint Transition Authority Update</w:t>
      </w:r>
    </w:p>
    <w:p w14:paraId="61784770" w14:textId="4C5A376E" w:rsidR="00355E2D" w:rsidRP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t>DDEC members noted that the Veteran Electronic Information Exchange (VEIE) Data Management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Agreement was signed on 07 August 2024.</w:t>
      </w:r>
    </w:p>
    <w:p w14:paraId="50D830C6" w14:textId="5CB2AC61" w:rsidR="00355E2D" w:rsidRDefault="00355E2D" w:rsidP="00355E2D">
      <w:pPr>
        <w:rPr>
          <w:rFonts w:ascii="Arial" w:hAnsi="Arial" w:cs="Arial"/>
          <w:sz w:val="22"/>
          <w:szCs w:val="22"/>
        </w:rPr>
      </w:pPr>
      <w:r w:rsidRPr="00355E2D">
        <w:rPr>
          <w:rFonts w:ascii="Arial" w:hAnsi="Arial" w:cs="Arial"/>
          <w:sz w:val="22"/>
          <w:szCs w:val="22"/>
        </w:rPr>
        <w:lastRenderedPageBreak/>
        <w:t>The Future Transition Operating Model (FTOM) did not reduce the amount of Transition Centres around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the country. It does include a tiered support model so that</w:t>
      </w:r>
      <w:r w:rsidR="00C27D44"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separating/transferring members receive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tailored supports appropriate to their needs. The FTOM is the initial step toward addressing RCDVS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concerns around duplication of effort and complexity in the transition system. Phase One is underway</w:t>
      </w:r>
      <w:r>
        <w:rPr>
          <w:rFonts w:ascii="Arial" w:hAnsi="Arial" w:cs="Arial"/>
          <w:sz w:val="22"/>
          <w:szCs w:val="22"/>
        </w:rPr>
        <w:t xml:space="preserve"> </w:t>
      </w:r>
      <w:r w:rsidRPr="00355E2D">
        <w:rPr>
          <w:rFonts w:ascii="Arial" w:hAnsi="Arial" w:cs="Arial"/>
          <w:sz w:val="22"/>
          <w:szCs w:val="22"/>
        </w:rPr>
        <w:t>across three ADF Transition Centres.</w:t>
      </w:r>
    </w:p>
    <w:p w14:paraId="52ADBCE3" w14:textId="0F531428" w:rsidR="00836A27" w:rsidRPr="00836A27" w:rsidRDefault="00836A27" w:rsidP="00836A27">
      <w:pPr>
        <w:rPr>
          <w:rFonts w:ascii="Arial" w:hAnsi="Arial" w:cs="Arial"/>
          <w:sz w:val="22"/>
          <w:szCs w:val="22"/>
        </w:rPr>
      </w:pPr>
      <w:r w:rsidRPr="00836A27">
        <w:rPr>
          <w:rFonts w:ascii="Arial" w:hAnsi="Arial" w:cs="Arial"/>
          <w:sz w:val="22"/>
          <w:szCs w:val="22"/>
        </w:rPr>
        <w:t>Mr Fegan reflected positively on his engagement with the Joint Transition Authority as the Repatriation</w:t>
      </w:r>
      <w:r>
        <w:rPr>
          <w:rFonts w:ascii="Arial" w:hAnsi="Arial" w:cs="Arial"/>
          <w:sz w:val="22"/>
          <w:szCs w:val="22"/>
        </w:rPr>
        <w:t xml:space="preserve"> </w:t>
      </w:r>
      <w:r w:rsidRPr="00836A27">
        <w:rPr>
          <w:rFonts w:ascii="Arial" w:hAnsi="Arial" w:cs="Arial"/>
          <w:sz w:val="22"/>
          <w:szCs w:val="22"/>
        </w:rPr>
        <w:t>Commissioner.</w:t>
      </w:r>
    </w:p>
    <w:p w14:paraId="6E342582" w14:textId="77777777" w:rsidR="00836A27" w:rsidRPr="00836A27" w:rsidRDefault="00836A27" w:rsidP="00836A27">
      <w:pPr>
        <w:rPr>
          <w:rFonts w:ascii="Arial" w:hAnsi="Arial" w:cs="Arial"/>
          <w:b/>
          <w:bCs/>
          <w:sz w:val="22"/>
          <w:szCs w:val="22"/>
        </w:rPr>
      </w:pPr>
      <w:r w:rsidRPr="00836A27">
        <w:rPr>
          <w:rFonts w:ascii="Arial" w:hAnsi="Arial" w:cs="Arial"/>
          <w:b/>
          <w:bCs/>
          <w:sz w:val="22"/>
          <w:szCs w:val="22"/>
        </w:rPr>
        <w:t>Other Business</w:t>
      </w:r>
    </w:p>
    <w:p w14:paraId="649CE143" w14:textId="040E3C33" w:rsidR="00836A27" w:rsidRPr="00836A27" w:rsidRDefault="00836A27" w:rsidP="00836A27">
      <w:pPr>
        <w:rPr>
          <w:rFonts w:ascii="Arial" w:hAnsi="Arial" w:cs="Arial"/>
          <w:sz w:val="22"/>
          <w:szCs w:val="22"/>
        </w:rPr>
      </w:pPr>
      <w:r w:rsidRPr="00836A27">
        <w:rPr>
          <w:rFonts w:ascii="Arial" w:hAnsi="Arial" w:cs="Arial"/>
          <w:sz w:val="22"/>
          <w:szCs w:val="22"/>
        </w:rPr>
        <w:t>Mr Fegan noted that the RSL was leading a study on the impact of service in the Middle East Area of</w:t>
      </w:r>
      <w:r>
        <w:rPr>
          <w:rFonts w:ascii="Arial" w:hAnsi="Arial" w:cs="Arial"/>
          <w:sz w:val="22"/>
          <w:szCs w:val="22"/>
        </w:rPr>
        <w:t xml:space="preserve"> </w:t>
      </w:r>
      <w:r w:rsidRPr="00836A27">
        <w:rPr>
          <w:rFonts w:ascii="Arial" w:hAnsi="Arial" w:cs="Arial"/>
          <w:sz w:val="22"/>
          <w:szCs w:val="22"/>
        </w:rPr>
        <w:t>Operations, including for families.</w:t>
      </w:r>
    </w:p>
    <w:p w14:paraId="35F6FE94" w14:textId="717AB1E3" w:rsidR="00836A27" w:rsidRPr="00323607" w:rsidRDefault="00836A27" w:rsidP="00836A27">
      <w:pPr>
        <w:rPr>
          <w:rFonts w:ascii="Arial" w:hAnsi="Arial" w:cs="Arial"/>
          <w:sz w:val="22"/>
          <w:szCs w:val="22"/>
        </w:rPr>
      </w:pPr>
      <w:r w:rsidRPr="00836A27">
        <w:rPr>
          <w:rFonts w:ascii="Arial" w:hAnsi="Arial" w:cs="Arial"/>
          <w:sz w:val="22"/>
          <w:szCs w:val="22"/>
        </w:rPr>
        <w:t>Meeting closed 1025h.</w:t>
      </w:r>
    </w:p>
    <w:sectPr w:rsidR="00836A27" w:rsidRPr="00323607" w:rsidSect="00F84954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3D49A" w14:textId="77777777" w:rsidR="00F42DAE" w:rsidRDefault="00F42DAE" w:rsidP="00F84954">
      <w:pPr>
        <w:spacing w:after="0" w:line="240" w:lineRule="auto"/>
      </w:pPr>
      <w:r>
        <w:separator/>
      </w:r>
    </w:p>
  </w:endnote>
  <w:endnote w:type="continuationSeparator" w:id="0">
    <w:p w14:paraId="09340441" w14:textId="77777777" w:rsidR="00F42DAE" w:rsidRDefault="00F42DAE" w:rsidP="00F8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11C1" w14:textId="3346A83A" w:rsidR="00F84954" w:rsidRDefault="00F84954" w:rsidP="00F84954">
    <w:pPr>
      <w:pStyle w:val="Header"/>
      <w:jc w:val="right"/>
      <w:rPr>
        <w:i/>
        <w:iCs/>
        <w:color w:val="3A3A3A" w:themeColor="background2" w:themeShade="40"/>
        <w:sz w:val="18"/>
        <w:szCs w:val="18"/>
      </w:rPr>
    </w:pPr>
    <w:r w:rsidRPr="00F84954">
      <w:rPr>
        <w:i/>
        <w:iCs/>
        <w:color w:val="3A3A3A" w:themeColor="background2" w:themeShade="40"/>
        <w:sz w:val="18"/>
        <w:szCs w:val="18"/>
      </w:rPr>
      <w:t xml:space="preserve">Defence/DVA Executive Committee (DDEC) - Meeting Summary – </w:t>
    </w:r>
    <w:r w:rsidR="00355E2D">
      <w:rPr>
        <w:i/>
        <w:iCs/>
        <w:color w:val="3A3A3A" w:themeColor="background2" w:themeShade="40"/>
        <w:sz w:val="18"/>
        <w:szCs w:val="18"/>
      </w:rPr>
      <w:t xml:space="preserve">10 October </w:t>
    </w:r>
    <w:r w:rsidR="00355E2D" w:rsidRPr="00F84954">
      <w:rPr>
        <w:i/>
        <w:iCs/>
        <w:color w:val="3A3A3A" w:themeColor="background2" w:themeShade="40"/>
        <w:sz w:val="18"/>
        <w:szCs w:val="18"/>
      </w:rPr>
      <w:t>2024</w:t>
    </w:r>
  </w:p>
  <w:p w14:paraId="3B484A7D" w14:textId="0812DFC5" w:rsidR="00F84954" w:rsidRPr="00F84954" w:rsidRDefault="00F84954" w:rsidP="00F84954">
    <w:pPr>
      <w:pStyle w:val="Header"/>
      <w:jc w:val="right"/>
      <w:rPr>
        <w:i/>
        <w:iCs/>
        <w:color w:val="3A3A3A" w:themeColor="background2" w:themeShade="40"/>
        <w:sz w:val="18"/>
        <w:szCs w:val="18"/>
      </w:rPr>
    </w:pPr>
    <w:r w:rsidRPr="00F84954">
      <w:rPr>
        <w:i/>
        <w:iCs/>
        <w:color w:val="3A3A3A" w:themeColor="background2" w:themeShade="40"/>
        <w:sz w:val="18"/>
        <w:szCs w:val="18"/>
      </w:rPr>
      <w:t xml:space="preserve">Page 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begin"/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instrText xml:space="preserve"> PAGE  \* Arabic  \* MERGEFORMAT </w:instrTex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separate"/>
    </w:r>
    <w:r w:rsidRPr="00F84954">
      <w:rPr>
        <w:b/>
        <w:bCs/>
        <w:i/>
        <w:iCs/>
        <w:noProof/>
        <w:color w:val="3A3A3A" w:themeColor="background2" w:themeShade="40"/>
        <w:sz w:val="18"/>
        <w:szCs w:val="18"/>
      </w:rPr>
      <w:t>1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end"/>
    </w:r>
    <w:r w:rsidRPr="00F84954">
      <w:rPr>
        <w:i/>
        <w:iCs/>
        <w:color w:val="3A3A3A" w:themeColor="background2" w:themeShade="40"/>
        <w:sz w:val="18"/>
        <w:szCs w:val="18"/>
      </w:rPr>
      <w:t xml:space="preserve"> of 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begin"/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instrText xml:space="preserve"> NUMPAGES  \* Arabic  \* MERGEFORMAT </w:instrTex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separate"/>
    </w:r>
    <w:r w:rsidRPr="00F84954">
      <w:rPr>
        <w:b/>
        <w:bCs/>
        <w:i/>
        <w:iCs/>
        <w:noProof/>
        <w:color w:val="3A3A3A" w:themeColor="background2" w:themeShade="40"/>
        <w:sz w:val="18"/>
        <w:szCs w:val="18"/>
      </w:rPr>
      <w:t>2</w:t>
    </w:r>
    <w:r w:rsidRPr="00F84954">
      <w:rPr>
        <w:b/>
        <w:bCs/>
        <w:i/>
        <w:iCs/>
        <w:color w:val="3A3A3A" w:themeColor="background2" w:themeShade="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7C7CD" w14:textId="77777777" w:rsidR="00F42DAE" w:rsidRDefault="00F42DAE" w:rsidP="00F84954">
      <w:pPr>
        <w:spacing w:after="0" w:line="240" w:lineRule="auto"/>
      </w:pPr>
      <w:r>
        <w:separator/>
      </w:r>
    </w:p>
  </w:footnote>
  <w:footnote w:type="continuationSeparator" w:id="0">
    <w:p w14:paraId="2971D23F" w14:textId="77777777" w:rsidR="00F42DAE" w:rsidRDefault="00F42DAE" w:rsidP="00F8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14089"/>
    <w:multiLevelType w:val="hybridMultilevel"/>
    <w:tmpl w:val="14AC6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6E"/>
    <w:rsid w:val="0007226B"/>
    <w:rsid w:val="000970BC"/>
    <w:rsid w:val="000B530E"/>
    <w:rsid w:val="000C031F"/>
    <w:rsid w:val="0027571C"/>
    <w:rsid w:val="002F2E1D"/>
    <w:rsid w:val="00323607"/>
    <w:rsid w:val="0034177C"/>
    <w:rsid w:val="00355E2D"/>
    <w:rsid w:val="003E716E"/>
    <w:rsid w:val="005D3815"/>
    <w:rsid w:val="005F07E2"/>
    <w:rsid w:val="00756AA3"/>
    <w:rsid w:val="00836A27"/>
    <w:rsid w:val="008C64A2"/>
    <w:rsid w:val="008C706D"/>
    <w:rsid w:val="009226B2"/>
    <w:rsid w:val="009E0A98"/>
    <w:rsid w:val="00AD1772"/>
    <w:rsid w:val="00B41580"/>
    <w:rsid w:val="00BE4F97"/>
    <w:rsid w:val="00C27D44"/>
    <w:rsid w:val="00CD39B0"/>
    <w:rsid w:val="00D002C9"/>
    <w:rsid w:val="00D42A29"/>
    <w:rsid w:val="00D43C18"/>
    <w:rsid w:val="00EC5AE6"/>
    <w:rsid w:val="00F42DAE"/>
    <w:rsid w:val="00F546FE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ABB9"/>
  <w15:chartTrackingRefBased/>
  <w15:docId w15:val="{79680C13-4CD0-496E-949C-9B7FC69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16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56AA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54"/>
  </w:style>
  <w:style w:type="paragraph" w:styleId="Footer">
    <w:name w:val="footer"/>
    <w:basedOn w:val="Normal"/>
    <w:link w:val="FooterChar"/>
    <w:uiPriority w:val="99"/>
    <w:unhideWhenUsed/>
    <w:rsid w:val="00F84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42F85-F359-431D-AC74-DD530DB81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6A954-B4B0-4593-A00D-CF1D798D6824}"/>
</file>

<file path=customXml/itemProps3.xml><?xml version="1.0" encoding="utf-8"?>
<ds:datastoreItem xmlns:ds="http://schemas.openxmlformats.org/officeDocument/2006/customXml" ds:itemID="{8CA95188-6A6A-4231-BCFE-0B497FAAA051}"/>
</file>

<file path=customXml/itemProps4.xml><?xml version="1.0" encoding="utf-8"?>
<ds:datastoreItem xmlns:ds="http://schemas.openxmlformats.org/officeDocument/2006/customXml" ds:itemID="{D173889A-6094-4820-9979-7CB241FA5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738</Words>
  <Characters>4213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DDEC Minutes October 2024</dc:title>
  <dc:subject/>
  <dc:creator>Department of Veterans' Affairs</dc:creator>
  <cp:keywords/>
  <dc:description/>
  <dcterms:created xsi:type="dcterms:W3CDTF">2024-10-02T01:34:00Z</dcterms:created>
  <dcterms:modified xsi:type="dcterms:W3CDTF">2024-12-17T03:38:00Z</dcterms:modified>
</cp:coreProperties>
</file>