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Light"/>
        <w:tblpPr w:leftFromText="180" w:rightFromText="180" w:horzAnchor="margin" w:tblpY="-720"/>
        <w:tblW w:w="11335" w:type="dxa"/>
        <w:tblBorders>
          <w:top w:val="single" w:sz="4" w:space="0" w:color="002060"/>
          <w:left w:val="single" w:sz="4" w:space="0" w:color="002060"/>
          <w:bottom w:val="single" w:sz="4" w:space="0" w:color="002060"/>
          <w:right w:val="single" w:sz="4" w:space="0" w:color="002060"/>
          <w:insideH w:val="none" w:sz="0" w:space="0" w:color="auto"/>
          <w:insideV w:val="none" w:sz="0" w:space="0" w:color="auto"/>
        </w:tblBorders>
        <w:tblLayout w:type="fixed"/>
        <w:tblLook w:val="04A0" w:firstRow="1" w:lastRow="0" w:firstColumn="1" w:lastColumn="0" w:noHBand="0" w:noVBand="1"/>
      </w:tblPr>
      <w:tblGrid>
        <w:gridCol w:w="9213"/>
        <w:gridCol w:w="2122"/>
      </w:tblGrid>
      <w:tr w:rsidR="00C15C28" w:rsidRPr="00C15C28" w14:paraId="49DE087D" w14:textId="77777777" w:rsidTr="00217403">
        <w:trPr>
          <w:trHeight w:val="1814"/>
        </w:trPr>
        <w:tc>
          <w:tcPr>
            <w:tcW w:w="11335" w:type="dxa"/>
            <w:gridSpan w:val="2"/>
            <w:tcBorders>
              <w:top w:val="single" w:sz="4" w:space="0" w:color="002060"/>
              <w:bottom w:val="nil"/>
            </w:tcBorders>
            <w:shd w:val="clear" w:color="auto" w:fill="002060"/>
          </w:tcPr>
          <w:p w14:paraId="56614089" w14:textId="77777777" w:rsidR="0075208A" w:rsidRDefault="00931014" w:rsidP="0045240F">
            <w:pPr>
              <w:ind w:right="-136"/>
              <w:jc w:val="center"/>
              <w:rPr>
                <w:rFonts w:ascii="Arial" w:hAnsi="Arial" w:cs="Arial"/>
                <w:noProof/>
                <w:color w:val="002060"/>
                <w:sz w:val="24"/>
                <w:szCs w:val="24"/>
                <w:lang w:eastAsia="en-AU"/>
              </w:rPr>
            </w:pPr>
            <w:r w:rsidRPr="003A047F">
              <w:rPr>
                <w:rFonts w:ascii="AusGov DVA Stacked 4U" w:hAnsi="AusGov DVA Stacked 4U" w:cs="Arial"/>
                <w:noProof/>
                <w:color w:val="FFFFFF" w:themeColor="background1"/>
                <w:sz w:val="24"/>
                <w:szCs w:val="24"/>
                <w:lang w:eastAsia="en-AU"/>
              </w:rPr>
              <mc:AlternateContent>
                <mc:Choice Requires="wps">
                  <w:drawing>
                    <wp:anchor distT="45720" distB="45720" distL="114300" distR="114300" simplePos="0" relativeHeight="251658239" behindDoc="0" locked="0" layoutInCell="1" allowOverlap="1" wp14:anchorId="60C607BA" wp14:editId="28235771">
                      <wp:simplePos x="0" y="0"/>
                      <wp:positionH relativeFrom="column">
                        <wp:posOffset>1951990</wp:posOffset>
                      </wp:positionH>
                      <wp:positionV relativeFrom="paragraph">
                        <wp:posOffset>167640</wp:posOffset>
                      </wp:positionV>
                      <wp:extent cx="335534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340" cy="1404620"/>
                              </a:xfrm>
                              <a:prstGeom prst="rect">
                                <a:avLst/>
                              </a:prstGeom>
                              <a:noFill/>
                              <a:ln w="9525">
                                <a:noFill/>
                                <a:miter lim="800000"/>
                                <a:headEnd/>
                                <a:tailEnd/>
                              </a:ln>
                            </wps:spPr>
                            <wps:txbx>
                              <w:txbxContent>
                                <w:p w14:paraId="5679990B" w14:textId="40AE9BCE" w:rsidR="00607EFA" w:rsidRPr="004334CF" w:rsidRDefault="00607EFA" w:rsidP="00E220B7">
                                  <w:pPr>
                                    <w:jc w:val="center"/>
                                    <w:rPr>
                                      <w:rFonts w:ascii="Aptos" w:hAnsi="Aptos"/>
                                      <w:b/>
                                      <w:color w:val="FFFFFF" w:themeColor="background1"/>
                                      <w:sz w:val="40"/>
                                    </w:rPr>
                                  </w:pPr>
                                  <w:r w:rsidRPr="004334CF">
                                    <w:rPr>
                                      <w:rFonts w:ascii="Aptos" w:hAnsi="Aptos"/>
                                      <w:b/>
                                      <w:color w:val="FFFFFF" w:themeColor="background1"/>
                                      <w:sz w:val="40"/>
                                    </w:rPr>
                                    <w:t xml:space="preserve">COMMUNITY NURSING NEWSLETTER No. </w:t>
                                  </w:r>
                                  <w:r w:rsidR="0031131C" w:rsidRPr="0031131C">
                                    <w:rPr>
                                      <w:rFonts w:ascii="Aptos" w:hAnsi="Aptos"/>
                                      <w:b/>
                                      <w:color w:val="FFFFFF" w:themeColor="background1"/>
                                      <w:sz w:val="40"/>
                                    </w:rPr>
                                    <w:t>49</w:t>
                                  </w:r>
                                </w:p>
                                <w:p w14:paraId="11F11ECE" w14:textId="6BD5BCA9" w:rsidR="00931014" w:rsidRDefault="005F2AA3" w:rsidP="00E220B7">
                                  <w:pPr>
                                    <w:jc w:val="center"/>
                                    <w:rPr>
                                      <w:rFonts w:ascii="Aptos" w:hAnsi="Aptos"/>
                                      <w:b/>
                                      <w:color w:val="FFFFFF" w:themeColor="background1"/>
                                      <w:sz w:val="40"/>
                                    </w:rPr>
                                  </w:pPr>
                                  <w:r w:rsidRPr="004334CF">
                                    <w:rPr>
                                      <w:rFonts w:ascii="Aptos" w:hAnsi="Aptos"/>
                                      <w:b/>
                                      <w:color w:val="FFFFFF" w:themeColor="background1"/>
                                      <w:sz w:val="40"/>
                                    </w:rPr>
                                    <w:t>September 2024</w:t>
                                  </w:r>
                                </w:p>
                                <w:p w14:paraId="5F479F81" w14:textId="77777777" w:rsidR="00AF06BC" w:rsidRPr="004334CF" w:rsidRDefault="00AF06BC" w:rsidP="00E220B7">
                                  <w:pPr>
                                    <w:jc w:val="center"/>
                                    <w:rPr>
                                      <w:rFonts w:ascii="Aptos" w:hAnsi="Aptos"/>
                                      <w:b/>
                                      <w:color w:val="FFFFFF" w:themeColor="background1"/>
                                      <w:sz w:val="4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C607BA" id="_x0000_t202" coordsize="21600,21600" o:spt="202" path="m,l,21600r21600,l21600,xe">
                      <v:stroke joinstyle="miter"/>
                      <v:path gradientshapeok="t" o:connecttype="rect"/>
                    </v:shapetype>
                    <v:shape id="Text Box 2" o:spid="_x0000_s1026" type="#_x0000_t202" style="position:absolute;left:0;text-align:left;margin-left:153.7pt;margin-top:13.2pt;width:264.2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" filled="f" stroked="f">
                      <v:textbox style="mso-fit-shape-to-text:t">
                        <w:txbxContent>
                          <w:p w14:paraId="5679990B" w14:textId="40AE9BCE" w:rsidR="00607EFA" w:rsidRPr="004334CF" w:rsidRDefault="00607EFA" w:rsidP="00E220B7">
                            <w:pPr>
                              <w:jc w:val="center"/>
                              <w:rPr>
                                <w:rFonts w:ascii="Aptos" w:hAnsi="Aptos"/>
                                <w:b/>
                                <w:color w:val="FFFFFF" w:themeColor="background1"/>
                                <w:sz w:val="40"/>
                              </w:rPr>
                            </w:pPr>
                            <w:r w:rsidRPr="004334CF">
                              <w:rPr>
                                <w:rFonts w:ascii="Aptos" w:hAnsi="Aptos"/>
                                <w:b/>
                                <w:color w:val="FFFFFF" w:themeColor="background1"/>
                                <w:sz w:val="40"/>
                              </w:rPr>
                              <w:t xml:space="preserve">COMMUNITY NURSING NEWSLETTER No. </w:t>
                            </w:r>
                            <w:r w:rsidR="0031131C" w:rsidRPr="0031131C">
                              <w:rPr>
                                <w:rFonts w:ascii="Aptos" w:hAnsi="Aptos"/>
                                <w:b/>
                                <w:color w:val="FFFFFF" w:themeColor="background1"/>
                                <w:sz w:val="40"/>
                              </w:rPr>
                              <w:t>49</w:t>
                            </w:r>
                          </w:p>
                          <w:p w14:paraId="11F11ECE" w14:textId="6BD5BCA9" w:rsidR="00931014" w:rsidRDefault="005F2AA3" w:rsidP="00E220B7">
                            <w:pPr>
                              <w:jc w:val="center"/>
                              <w:rPr>
                                <w:rFonts w:ascii="Aptos" w:hAnsi="Aptos"/>
                                <w:b/>
                                <w:color w:val="FFFFFF" w:themeColor="background1"/>
                                <w:sz w:val="40"/>
                              </w:rPr>
                            </w:pPr>
                            <w:r w:rsidRPr="004334CF">
                              <w:rPr>
                                <w:rFonts w:ascii="Aptos" w:hAnsi="Aptos"/>
                                <w:b/>
                                <w:color w:val="FFFFFF" w:themeColor="background1"/>
                                <w:sz w:val="40"/>
                              </w:rPr>
                              <w:t>September 2024</w:t>
                            </w:r>
                          </w:p>
                          <w:p w14:paraId="5F479F81" w14:textId="77777777" w:rsidR="00AF06BC" w:rsidRPr="004334CF" w:rsidRDefault="00AF06BC" w:rsidP="00E220B7">
                            <w:pPr>
                              <w:jc w:val="center"/>
                              <w:rPr>
                                <w:rFonts w:ascii="Aptos" w:hAnsi="Aptos"/>
                                <w:b/>
                                <w:color w:val="FFFFFF" w:themeColor="background1"/>
                                <w:sz w:val="40"/>
                              </w:rPr>
                            </w:pPr>
                          </w:p>
                        </w:txbxContent>
                      </v:textbox>
                    </v:shape>
                  </w:pict>
                </mc:Fallback>
              </mc:AlternateContent>
            </w:r>
          </w:p>
          <w:p w14:paraId="6BF5A594" w14:textId="77777777" w:rsidR="008C7EEF" w:rsidRPr="003A047F" w:rsidRDefault="003A047F" w:rsidP="0045240F">
            <w:pPr>
              <w:ind w:right="-136"/>
              <w:rPr>
                <w:rFonts w:ascii="AusGov DVA Stacked 4U" w:hAnsi="AusGov DVA Stacked 4U" w:cs="Arial"/>
                <w:color w:val="002060"/>
                <w:sz w:val="200"/>
                <w:szCs w:val="200"/>
              </w:rPr>
            </w:pPr>
            <w:r w:rsidRPr="00C168FC">
              <w:rPr>
                <w:rFonts w:ascii="Arial" w:hAnsi="Arial" w:cs="Arial"/>
                <w:noProof/>
                <w:color w:val="002060"/>
                <w:sz w:val="24"/>
                <w:szCs w:val="24"/>
                <w:lang w:eastAsia="en-AU"/>
              </w:rPr>
              <w:drawing>
                <wp:anchor distT="0" distB="0" distL="114300" distR="114300" simplePos="0" relativeHeight="251659264" behindDoc="0" locked="0" layoutInCell="1" allowOverlap="1" wp14:anchorId="6EDE60F7" wp14:editId="08A67629">
                  <wp:simplePos x="0" y="0"/>
                  <wp:positionH relativeFrom="column">
                    <wp:posOffset>5427608</wp:posOffset>
                  </wp:positionH>
                  <wp:positionV relativeFrom="paragraph">
                    <wp:posOffset>215001</wp:posOffset>
                  </wp:positionV>
                  <wp:extent cx="1566723" cy="888676"/>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566723" cy="888676"/>
                          </a:xfrm>
                          <a:prstGeom prst="rect">
                            <a:avLst/>
                          </a:prstGeom>
                          <a:ln>
                            <a:noFill/>
                          </a:ln>
                          <a:effectLst>
                            <a:softEdge rad="3175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p>
        </w:tc>
      </w:tr>
      <w:tr w:rsidR="0090736B" w:rsidRPr="00C15C28" w14:paraId="0A9EBE45" w14:textId="77777777" w:rsidTr="00217403">
        <w:trPr>
          <w:trHeight w:val="523"/>
        </w:trPr>
        <w:tc>
          <w:tcPr>
            <w:tcW w:w="11335" w:type="dxa"/>
            <w:gridSpan w:val="2"/>
            <w:tcBorders>
              <w:top w:val="nil"/>
              <w:bottom w:val="nil"/>
            </w:tcBorders>
            <w:shd w:val="clear" w:color="auto" w:fill="002060"/>
          </w:tcPr>
          <w:p w14:paraId="65F888A3" w14:textId="70B9CCC6" w:rsidR="0090736B" w:rsidRPr="00A61C55" w:rsidRDefault="0075208A" w:rsidP="00217403">
            <w:pPr>
              <w:ind w:right="34"/>
              <w:jc w:val="center"/>
              <w:rPr>
                <w:rFonts w:ascii="Aptos" w:hAnsi="Aptos" w:cs="Arial"/>
                <w:noProof/>
                <w:color w:val="002060"/>
                <w:lang w:eastAsia="en-AU"/>
              </w:rPr>
            </w:pPr>
            <w:r w:rsidRPr="00A61C55">
              <w:rPr>
                <w:rFonts w:ascii="Aptos" w:hAnsi="Aptos" w:cstheme="minorHAnsi"/>
                <w:color w:val="FFFFFF" w:themeColor="background1"/>
              </w:rPr>
              <w:t xml:space="preserve">The </w:t>
            </w:r>
            <w:r w:rsidRPr="00A61C55">
              <w:rPr>
                <w:rFonts w:ascii="Aptos" w:hAnsi="Aptos" w:cstheme="minorHAnsi"/>
                <w:b/>
                <w:i/>
                <w:color w:val="FFFFFF" w:themeColor="background1"/>
              </w:rPr>
              <w:t>Community Nursing Newsletter</w:t>
            </w:r>
            <w:r w:rsidRPr="00A61C55">
              <w:rPr>
                <w:rFonts w:ascii="Aptos" w:hAnsi="Aptos" w:cstheme="minorHAnsi"/>
                <w:color w:val="FFFFFF" w:themeColor="background1"/>
              </w:rPr>
              <w:t xml:space="preserve"> </w:t>
            </w:r>
            <w:r w:rsidR="0012303C" w:rsidRPr="00A61C55">
              <w:rPr>
                <w:rFonts w:ascii="Aptos" w:hAnsi="Aptos" w:cstheme="minorHAnsi"/>
                <w:color w:val="FFFFFF" w:themeColor="background1"/>
              </w:rPr>
              <w:t xml:space="preserve">is issued to provide </w:t>
            </w:r>
            <w:r w:rsidRPr="00A61C55">
              <w:rPr>
                <w:rFonts w:ascii="Aptos" w:hAnsi="Aptos" w:cstheme="minorHAnsi"/>
                <w:color w:val="FFFFFF" w:themeColor="background1"/>
              </w:rPr>
              <w:t>update</w:t>
            </w:r>
            <w:r w:rsidR="0012303C" w:rsidRPr="00A61C55">
              <w:rPr>
                <w:rFonts w:ascii="Aptos" w:hAnsi="Aptos" w:cstheme="minorHAnsi"/>
                <w:color w:val="FFFFFF" w:themeColor="background1"/>
              </w:rPr>
              <w:t>s</w:t>
            </w:r>
            <w:r w:rsidRPr="00A61C55">
              <w:rPr>
                <w:rFonts w:ascii="Aptos" w:hAnsi="Aptos" w:cstheme="minorHAnsi"/>
                <w:color w:val="FFFFFF" w:themeColor="background1"/>
              </w:rPr>
              <w:t xml:space="preserve"> to Department of Veterans’ Affairs (DVA) Community Nursing provide</w:t>
            </w:r>
            <w:r w:rsidR="0012303C" w:rsidRPr="00A61C55">
              <w:rPr>
                <w:rFonts w:ascii="Aptos" w:hAnsi="Aptos" w:cstheme="minorHAnsi"/>
                <w:color w:val="FFFFFF" w:themeColor="background1"/>
              </w:rPr>
              <w:t>rs about DVA’s C</w:t>
            </w:r>
            <w:r w:rsidR="00217403">
              <w:rPr>
                <w:rFonts w:ascii="Aptos" w:hAnsi="Aptos" w:cstheme="minorHAnsi"/>
                <w:color w:val="FFFFFF" w:themeColor="background1"/>
              </w:rPr>
              <w:t xml:space="preserve">ommunity </w:t>
            </w:r>
            <w:r w:rsidR="0012303C" w:rsidRPr="00A61C55">
              <w:rPr>
                <w:rFonts w:ascii="Aptos" w:hAnsi="Aptos" w:cstheme="minorHAnsi"/>
                <w:color w:val="FFFFFF" w:themeColor="background1"/>
              </w:rPr>
              <w:t>N</w:t>
            </w:r>
            <w:r w:rsidR="00217403">
              <w:rPr>
                <w:rFonts w:ascii="Aptos" w:hAnsi="Aptos" w:cstheme="minorHAnsi"/>
                <w:color w:val="FFFFFF" w:themeColor="background1"/>
              </w:rPr>
              <w:t>ursing</w:t>
            </w:r>
            <w:r w:rsidR="0012303C" w:rsidRPr="00A61C55">
              <w:rPr>
                <w:rFonts w:ascii="Aptos" w:hAnsi="Aptos" w:cstheme="minorHAnsi"/>
                <w:color w:val="FFFFFF" w:themeColor="background1"/>
              </w:rPr>
              <w:t xml:space="preserve"> </w:t>
            </w:r>
            <w:r w:rsidR="00931014" w:rsidRPr="00A61C55">
              <w:rPr>
                <w:rFonts w:ascii="Aptos" w:hAnsi="Aptos" w:cstheme="minorHAnsi"/>
                <w:color w:val="FFFFFF" w:themeColor="background1"/>
              </w:rPr>
              <w:t>P</w:t>
            </w:r>
            <w:r w:rsidR="0012303C" w:rsidRPr="00A61C55">
              <w:rPr>
                <w:rFonts w:ascii="Aptos" w:hAnsi="Aptos" w:cstheme="minorHAnsi"/>
                <w:color w:val="FFFFFF" w:themeColor="background1"/>
              </w:rPr>
              <w:t>rogram.</w:t>
            </w:r>
            <w:r w:rsidR="003C74B3" w:rsidRPr="00A61C55">
              <w:rPr>
                <w:rFonts w:ascii="Aptos" w:hAnsi="Aptos" w:cstheme="minorHAnsi"/>
                <w:color w:val="FFFFFF" w:themeColor="background1"/>
              </w:rPr>
              <w:t xml:space="preserve"> </w:t>
            </w:r>
          </w:p>
        </w:tc>
      </w:tr>
      <w:tr w:rsidR="006415C0" w:rsidRPr="00C15C28" w14:paraId="307259B6" w14:textId="77777777" w:rsidTr="00E7182D">
        <w:trPr>
          <w:trHeight w:val="6532"/>
        </w:trPr>
        <w:tc>
          <w:tcPr>
            <w:tcW w:w="11335" w:type="dxa"/>
            <w:gridSpan w:val="2"/>
            <w:tcBorders>
              <w:top w:val="nil"/>
              <w:bottom w:val="single" w:sz="4" w:space="0" w:color="auto"/>
            </w:tcBorders>
            <w:shd w:val="clear" w:color="auto" w:fill="BDD6EE" w:themeFill="accent1" w:themeFillTint="66"/>
            <w:vAlign w:val="center"/>
          </w:tcPr>
          <w:p w14:paraId="286A0B9A" w14:textId="12F80F51" w:rsidR="006415C0" w:rsidRPr="00822A77" w:rsidRDefault="006415C0" w:rsidP="00822A77">
            <w:pPr>
              <w:ind w:left="37" w:right="595"/>
              <w:rPr>
                <w:rFonts w:ascii="Aptos" w:hAnsi="Aptos"/>
                <w:sz w:val="18"/>
                <w:szCs w:val="18"/>
              </w:rPr>
            </w:pPr>
          </w:p>
          <w:p w14:paraId="24026697" w14:textId="28DE1927" w:rsidR="006415C0" w:rsidRPr="006415C0" w:rsidRDefault="006415C0" w:rsidP="0045240F">
            <w:pPr>
              <w:ind w:left="40"/>
              <w:jc w:val="both"/>
              <w:rPr>
                <w:rFonts w:ascii="Aptos" w:hAnsi="Aptos" w:cs="Arial"/>
                <w:color w:val="002060"/>
                <w:sz w:val="36"/>
                <w:szCs w:val="24"/>
              </w:rPr>
            </w:pPr>
            <w:r>
              <w:rPr>
                <w:rFonts w:ascii="Aptos" w:hAnsi="Aptos" w:cs="Arial"/>
                <w:color w:val="002060"/>
                <w:sz w:val="36"/>
                <w:szCs w:val="24"/>
              </w:rPr>
              <w:t>Sustainability Payments</w:t>
            </w:r>
          </w:p>
          <w:p w14:paraId="0B266854" w14:textId="4F75994A" w:rsidR="006415C0" w:rsidRPr="006415C0" w:rsidRDefault="006415C0" w:rsidP="0045240F">
            <w:pPr>
              <w:ind w:left="37" w:firstLine="2"/>
              <w:rPr>
                <w:rFonts w:ascii="Aptos" w:hAnsi="Aptos"/>
                <w:color w:val="002060"/>
                <w:sz w:val="24"/>
                <w:szCs w:val="24"/>
              </w:rPr>
            </w:pPr>
            <w:r w:rsidRPr="006415C0">
              <w:rPr>
                <w:rFonts w:ascii="Aptos" w:hAnsi="Aptos"/>
                <w:color w:val="002060"/>
                <w:sz w:val="24"/>
                <w:szCs w:val="24"/>
              </w:rPr>
              <w:t xml:space="preserve">A reminder to providers that sustainability payments are calculated based on the number of unique </w:t>
            </w:r>
            <w:proofErr w:type="gramStart"/>
            <w:r w:rsidR="006B73AB" w:rsidRPr="006415C0">
              <w:rPr>
                <w:rFonts w:ascii="Aptos" w:hAnsi="Aptos"/>
                <w:color w:val="002060"/>
                <w:sz w:val="24"/>
                <w:szCs w:val="24"/>
              </w:rPr>
              <w:t>clients</w:t>
            </w:r>
            <w:proofErr w:type="gramEnd"/>
            <w:r w:rsidR="006B73AB" w:rsidRPr="006415C0">
              <w:rPr>
                <w:rFonts w:ascii="Aptos" w:hAnsi="Aptos"/>
                <w:color w:val="002060"/>
                <w:sz w:val="24"/>
                <w:szCs w:val="24"/>
              </w:rPr>
              <w:t xml:space="preserve"> </w:t>
            </w:r>
            <w:r w:rsidR="006B73AB">
              <w:rPr>
                <w:rFonts w:ascii="Aptos" w:hAnsi="Aptos"/>
                <w:color w:val="002060"/>
                <w:sz w:val="24"/>
                <w:szCs w:val="24"/>
              </w:rPr>
              <w:t>community</w:t>
            </w:r>
            <w:r w:rsidRPr="006415C0">
              <w:rPr>
                <w:rFonts w:ascii="Aptos" w:hAnsi="Aptos"/>
                <w:color w:val="002060"/>
                <w:sz w:val="24"/>
                <w:szCs w:val="24"/>
              </w:rPr>
              <w:t xml:space="preserve"> nursing providers </w:t>
            </w:r>
            <w:r w:rsidRPr="006415C0">
              <w:rPr>
                <w:rFonts w:ascii="Aptos" w:hAnsi="Aptos"/>
                <w:b/>
                <w:bCs/>
                <w:color w:val="002060"/>
                <w:sz w:val="24"/>
                <w:szCs w:val="24"/>
              </w:rPr>
              <w:t>received payment for</w:t>
            </w:r>
            <w:r w:rsidRPr="006415C0">
              <w:rPr>
                <w:rFonts w:ascii="Aptos" w:hAnsi="Aptos"/>
                <w:color w:val="002060"/>
                <w:sz w:val="24"/>
                <w:szCs w:val="24"/>
              </w:rPr>
              <w:t xml:space="preserve"> during each month of the</w:t>
            </w:r>
            <w:r w:rsidR="00927D58">
              <w:rPr>
                <w:rFonts w:ascii="Aptos" w:hAnsi="Aptos"/>
                <w:color w:val="002060"/>
                <w:sz w:val="24"/>
                <w:szCs w:val="24"/>
              </w:rPr>
              <w:t xml:space="preserve"> preceding</w:t>
            </w:r>
            <w:r w:rsidRPr="006415C0">
              <w:rPr>
                <w:rFonts w:ascii="Aptos" w:hAnsi="Aptos"/>
                <w:color w:val="002060"/>
                <w:sz w:val="24"/>
                <w:szCs w:val="24"/>
              </w:rPr>
              <w:t xml:space="preserve"> quarter. DVA encourages providers to submit claims in a timely manner each month to ensure all eligible claims can be processed so that payments are captured in each of the three months in the quarterly period. The amount for community nursing services is calculated at a rate of $90 per client per month (amounts are GST exclusive). Any questions regarding the sustainability payments, including further information about how the payments have been calculated, can be emailed to </w:t>
            </w:r>
            <w:hyperlink r:id="rId8" w:history="1">
              <w:r w:rsidRPr="006415C0">
                <w:rPr>
                  <w:rStyle w:val="Hyperlink"/>
                  <w:rFonts w:ascii="Aptos" w:hAnsi="Aptos"/>
                  <w:color w:val="002060"/>
                  <w:sz w:val="24"/>
                  <w:szCs w:val="24"/>
                </w:rPr>
                <w:t>dva.sustainability.payments@dva.gov.au</w:t>
              </w:r>
            </w:hyperlink>
            <w:r w:rsidRPr="006415C0">
              <w:rPr>
                <w:rFonts w:ascii="Aptos" w:hAnsi="Aptos"/>
                <w:color w:val="002060"/>
                <w:sz w:val="24"/>
                <w:szCs w:val="24"/>
              </w:rPr>
              <w:t>.</w:t>
            </w:r>
          </w:p>
          <w:p w14:paraId="5B7D1E34" w14:textId="2E4BFFF0" w:rsidR="006415C0" w:rsidRPr="006415C0" w:rsidRDefault="00491FA3" w:rsidP="0045240F">
            <w:pPr>
              <w:ind w:left="37" w:firstLine="2"/>
              <w:rPr>
                <w:rFonts w:ascii="Aptos" w:hAnsi="Aptos"/>
                <w:color w:val="002060"/>
                <w:sz w:val="24"/>
                <w:szCs w:val="24"/>
              </w:rPr>
            </w:pPr>
            <w:r>
              <w:rPr>
                <w:noProof/>
              </w:rPr>
              <w:drawing>
                <wp:anchor distT="0" distB="0" distL="114300" distR="114300" simplePos="0" relativeHeight="251671552" behindDoc="0" locked="0" layoutInCell="1" allowOverlap="1" wp14:anchorId="0662554B" wp14:editId="7081A4EE">
                  <wp:simplePos x="0" y="0"/>
                  <wp:positionH relativeFrom="column">
                    <wp:posOffset>5988050</wp:posOffset>
                  </wp:positionH>
                  <wp:positionV relativeFrom="paragraph">
                    <wp:posOffset>180340</wp:posOffset>
                  </wp:positionV>
                  <wp:extent cx="1009015" cy="1058545"/>
                  <wp:effectExtent l="0" t="0" r="635" b="8255"/>
                  <wp:wrapSquare wrapText="bothSides"/>
                  <wp:docPr id="1533858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337414" name=""/>
                          <pic:cNvPicPr/>
                        </pic:nvPicPr>
                        <pic:blipFill>
                          <a:blip r:embed="rId9">
                            <a:extLst>
                              <a:ext uri="{28A0092B-C50C-407E-A947-70E740481C1C}">
                                <a14:useLocalDpi xmlns:a14="http://schemas.microsoft.com/office/drawing/2010/main" val="0"/>
                              </a:ext>
                            </a:extLst>
                          </a:blip>
                          <a:stretch>
                            <a:fillRect/>
                          </a:stretch>
                        </pic:blipFill>
                        <pic:spPr>
                          <a:xfrm>
                            <a:off x="0" y="0"/>
                            <a:ext cx="1009015" cy="1058545"/>
                          </a:xfrm>
                          <a:prstGeom prst="rect">
                            <a:avLst/>
                          </a:prstGeom>
                        </pic:spPr>
                      </pic:pic>
                    </a:graphicData>
                  </a:graphic>
                  <wp14:sizeRelH relativeFrom="margin">
                    <wp14:pctWidth>0</wp14:pctWidth>
                  </wp14:sizeRelH>
                  <wp14:sizeRelV relativeFrom="margin">
                    <wp14:pctHeight>0</wp14:pctHeight>
                  </wp14:sizeRelV>
                </wp:anchor>
              </w:drawing>
            </w:r>
            <w:r w:rsidR="006415C0" w:rsidRPr="006415C0">
              <w:rPr>
                <w:rFonts w:ascii="Aptos" w:hAnsi="Aptos"/>
                <w:color w:val="002060"/>
                <w:sz w:val="24"/>
                <w:szCs w:val="24"/>
              </w:rPr>
              <w:t> </w:t>
            </w:r>
          </w:p>
          <w:p w14:paraId="69FC99DD" w14:textId="5978889B" w:rsidR="006415C0" w:rsidRPr="006415C0" w:rsidRDefault="006415C0" w:rsidP="0045240F">
            <w:pPr>
              <w:ind w:left="37" w:firstLine="2"/>
              <w:rPr>
                <w:rFonts w:ascii="Aptos" w:hAnsi="Aptos"/>
                <w:color w:val="002060"/>
                <w:sz w:val="24"/>
                <w:szCs w:val="24"/>
              </w:rPr>
            </w:pPr>
            <w:r w:rsidRPr="006415C0">
              <w:rPr>
                <w:rFonts w:ascii="Aptos" w:hAnsi="Aptos"/>
                <w:color w:val="002060"/>
                <w:sz w:val="24"/>
                <w:szCs w:val="24"/>
              </w:rPr>
              <w:t>Submitting claims online is the preferred method to claim for community nursing services as it provides a</w:t>
            </w:r>
            <w:r>
              <w:rPr>
                <w:rFonts w:ascii="Aptos" w:hAnsi="Aptos"/>
                <w:color w:val="002060"/>
                <w:sz w:val="24"/>
                <w:szCs w:val="24"/>
              </w:rPr>
              <w:t xml:space="preserve"> </w:t>
            </w:r>
            <w:r w:rsidRPr="006415C0">
              <w:rPr>
                <w:rFonts w:ascii="Aptos" w:hAnsi="Aptos"/>
                <w:color w:val="002060"/>
                <w:sz w:val="24"/>
                <w:szCs w:val="24"/>
              </w:rPr>
              <w:t>number</w:t>
            </w:r>
            <w:r>
              <w:rPr>
                <w:rFonts w:ascii="Aptos" w:hAnsi="Aptos"/>
                <w:color w:val="002060"/>
                <w:sz w:val="24"/>
                <w:szCs w:val="24"/>
              </w:rPr>
              <w:t xml:space="preserve"> </w:t>
            </w:r>
            <w:r w:rsidRPr="006415C0">
              <w:rPr>
                <w:rFonts w:ascii="Aptos" w:hAnsi="Aptos"/>
                <w:color w:val="002060"/>
                <w:sz w:val="24"/>
                <w:szCs w:val="24"/>
              </w:rPr>
              <w:t xml:space="preserve">of efficiencies for health care providers. Online claiming will allow timely payment for claims compared to manual claims, which has a known delay in processing. A list of software compatible with community nursing claiming is available on the </w:t>
            </w:r>
            <w:hyperlink r:id="rId10" w:history="1">
              <w:r w:rsidRPr="006415C0">
                <w:rPr>
                  <w:rStyle w:val="Hyperlink"/>
                  <w:rFonts w:ascii="Aptos" w:hAnsi="Aptos"/>
                  <w:color w:val="002060"/>
                  <w:sz w:val="24"/>
                  <w:szCs w:val="24"/>
                </w:rPr>
                <w:t>Services Australia website</w:t>
              </w:r>
            </w:hyperlink>
            <w:r w:rsidRPr="006415C0">
              <w:rPr>
                <w:rFonts w:ascii="Aptos" w:hAnsi="Aptos"/>
                <w:color w:val="002060"/>
                <w:sz w:val="24"/>
                <w:szCs w:val="24"/>
              </w:rPr>
              <w:t>. You can find the software suited for your needs by looking for those marked with a tick under DVA claiming in the table.</w:t>
            </w:r>
          </w:p>
          <w:p w14:paraId="1AA79F7C" w14:textId="767C15C0" w:rsidR="006415C0" w:rsidRPr="006415C0" w:rsidRDefault="006415C0" w:rsidP="0045240F">
            <w:pPr>
              <w:ind w:left="37" w:firstLine="2"/>
              <w:rPr>
                <w:rFonts w:ascii="Aptos" w:hAnsi="Aptos"/>
                <w:color w:val="002060"/>
                <w:sz w:val="24"/>
                <w:szCs w:val="24"/>
              </w:rPr>
            </w:pPr>
            <w:r w:rsidRPr="006415C0">
              <w:rPr>
                <w:rFonts w:ascii="Aptos" w:hAnsi="Aptos"/>
                <w:color w:val="002060"/>
                <w:sz w:val="24"/>
                <w:szCs w:val="24"/>
              </w:rPr>
              <w:t> </w:t>
            </w:r>
          </w:p>
          <w:p w14:paraId="76B2CDCD" w14:textId="77777777" w:rsidR="00CC7097" w:rsidRDefault="006415C0" w:rsidP="0045240F">
            <w:pPr>
              <w:ind w:left="37" w:firstLine="2"/>
              <w:rPr>
                <w:rFonts w:ascii="Aptos" w:hAnsi="Aptos"/>
                <w:color w:val="002060"/>
                <w:sz w:val="24"/>
                <w:szCs w:val="24"/>
              </w:rPr>
            </w:pPr>
            <w:r w:rsidRPr="006415C0">
              <w:rPr>
                <w:rFonts w:ascii="Aptos" w:hAnsi="Aptos"/>
                <w:color w:val="002060"/>
                <w:sz w:val="24"/>
                <w:szCs w:val="24"/>
              </w:rPr>
              <w:t xml:space="preserve">DVA invites providers eligible for a sustainability payment for the April - June 2024 quarter to submit your invoice for </w:t>
            </w:r>
            <w:r w:rsidR="00A71407" w:rsidRPr="006415C0">
              <w:rPr>
                <w:rFonts w:ascii="Aptos" w:hAnsi="Aptos"/>
                <w:color w:val="002060"/>
                <w:sz w:val="24"/>
                <w:szCs w:val="24"/>
              </w:rPr>
              <w:t>processing if</w:t>
            </w:r>
            <w:r w:rsidRPr="006415C0">
              <w:rPr>
                <w:rFonts w:ascii="Aptos" w:hAnsi="Aptos"/>
                <w:color w:val="002060"/>
                <w:sz w:val="24"/>
                <w:szCs w:val="24"/>
              </w:rPr>
              <w:t xml:space="preserve"> you have not already done so</w:t>
            </w:r>
            <w:r w:rsidR="00A71407" w:rsidRPr="006415C0">
              <w:rPr>
                <w:rFonts w:ascii="Aptos" w:hAnsi="Aptos"/>
                <w:color w:val="002060"/>
                <w:sz w:val="24"/>
                <w:szCs w:val="24"/>
              </w:rPr>
              <w:t xml:space="preserve">. </w:t>
            </w:r>
          </w:p>
          <w:p w14:paraId="0404AB9E" w14:textId="77777777" w:rsidR="00CC7097" w:rsidRDefault="00CC7097" w:rsidP="0045240F">
            <w:pPr>
              <w:ind w:left="37" w:firstLine="2"/>
              <w:rPr>
                <w:rFonts w:ascii="Aptos" w:hAnsi="Aptos"/>
                <w:color w:val="002060"/>
                <w:sz w:val="24"/>
                <w:szCs w:val="24"/>
              </w:rPr>
            </w:pPr>
          </w:p>
          <w:p w14:paraId="09D73F1D" w14:textId="34A80C95" w:rsidR="00156B9F" w:rsidRDefault="00F5661D" w:rsidP="0045240F">
            <w:pPr>
              <w:ind w:left="37" w:firstLine="2"/>
              <w:rPr>
                <w:rFonts w:ascii="Aptos" w:hAnsi="Aptos"/>
                <w:color w:val="002060"/>
                <w:sz w:val="24"/>
                <w:szCs w:val="24"/>
              </w:rPr>
            </w:pPr>
            <w:r w:rsidRPr="00F5661D">
              <w:rPr>
                <w:rFonts w:ascii="Aptos" w:hAnsi="Aptos"/>
                <w:color w:val="002060"/>
                <w:sz w:val="24"/>
                <w:szCs w:val="24"/>
              </w:rPr>
              <w:t xml:space="preserve">To ensure </w:t>
            </w:r>
            <w:r w:rsidR="00156B9F" w:rsidRPr="00F5661D">
              <w:rPr>
                <w:rFonts w:ascii="Aptos" w:hAnsi="Aptos"/>
                <w:color w:val="002060"/>
                <w:sz w:val="24"/>
                <w:szCs w:val="24"/>
              </w:rPr>
              <w:t xml:space="preserve">the relevant person receives notifications regarding sustainability payments, please </w:t>
            </w:r>
            <w:r w:rsidRPr="00F5661D">
              <w:rPr>
                <w:rFonts w:ascii="Aptos" w:hAnsi="Aptos"/>
                <w:color w:val="002060"/>
                <w:sz w:val="24"/>
                <w:szCs w:val="24"/>
              </w:rPr>
              <w:t>check that</w:t>
            </w:r>
            <w:r w:rsidR="00156B9F" w:rsidRPr="00F5661D">
              <w:rPr>
                <w:rFonts w:ascii="Aptos" w:hAnsi="Aptos"/>
                <w:color w:val="002060"/>
                <w:sz w:val="24"/>
                <w:szCs w:val="24"/>
              </w:rPr>
              <w:t xml:space="preserve"> DVA has your correct contact details. If any changes are </w:t>
            </w:r>
            <w:r w:rsidR="00927D58" w:rsidRPr="00F5661D">
              <w:rPr>
                <w:rFonts w:ascii="Aptos" w:hAnsi="Aptos"/>
                <w:color w:val="002060"/>
                <w:sz w:val="24"/>
                <w:szCs w:val="24"/>
              </w:rPr>
              <w:t>required,</w:t>
            </w:r>
            <w:r w:rsidR="00156B9F" w:rsidRPr="00F5661D">
              <w:rPr>
                <w:rFonts w:ascii="Aptos" w:hAnsi="Aptos"/>
                <w:color w:val="002060"/>
                <w:sz w:val="24"/>
                <w:szCs w:val="24"/>
              </w:rPr>
              <w:t xml:space="preserve"> please </w:t>
            </w:r>
            <w:r w:rsidR="00D5718E" w:rsidRPr="00F5661D">
              <w:rPr>
                <w:rFonts w:ascii="Aptos" w:hAnsi="Aptos"/>
                <w:color w:val="002060"/>
                <w:sz w:val="24"/>
                <w:szCs w:val="24"/>
              </w:rPr>
              <w:t xml:space="preserve">inform DVA </w:t>
            </w:r>
            <w:r w:rsidR="00156B9F" w:rsidRPr="00F5661D">
              <w:rPr>
                <w:rFonts w:ascii="Aptos" w:hAnsi="Aptos"/>
                <w:color w:val="002060"/>
                <w:sz w:val="24"/>
                <w:szCs w:val="24"/>
              </w:rPr>
              <w:t xml:space="preserve">via email at: </w:t>
            </w:r>
            <w:hyperlink r:id="rId11" w:history="1">
              <w:r w:rsidR="00156B9F" w:rsidRPr="00F5661D">
                <w:rPr>
                  <w:rStyle w:val="Hyperlink"/>
                  <w:rFonts w:ascii="Aptos" w:hAnsi="Aptos"/>
                  <w:sz w:val="24"/>
                  <w:szCs w:val="24"/>
                </w:rPr>
                <w:t>community.nursing.contracts@dva.gov.au</w:t>
              </w:r>
            </w:hyperlink>
          </w:p>
          <w:p w14:paraId="2AF0B2F3" w14:textId="77777777" w:rsidR="00CC7097" w:rsidRDefault="00CC7097" w:rsidP="0045240F">
            <w:pPr>
              <w:ind w:left="37" w:firstLine="2"/>
              <w:rPr>
                <w:rFonts w:ascii="Aptos" w:hAnsi="Aptos"/>
                <w:color w:val="002060"/>
                <w:sz w:val="24"/>
                <w:szCs w:val="24"/>
              </w:rPr>
            </w:pPr>
          </w:p>
          <w:p w14:paraId="2B9E169D" w14:textId="4B27DBEA" w:rsidR="006415C0" w:rsidRPr="006415C0" w:rsidRDefault="006415C0" w:rsidP="0045240F">
            <w:pPr>
              <w:ind w:left="37" w:firstLine="2"/>
              <w:rPr>
                <w:rFonts w:ascii="Aptos" w:hAnsi="Aptos"/>
                <w:color w:val="002060"/>
                <w:sz w:val="24"/>
                <w:szCs w:val="24"/>
              </w:rPr>
            </w:pPr>
            <w:r w:rsidRPr="006415C0">
              <w:rPr>
                <w:rFonts w:ascii="Aptos" w:hAnsi="Aptos"/>
                <w:color w:val="002060"/>
                <w:sz w:val="24"/>
                <w:szCs w:val="24"/>
              </w:rPr>
              <w:t xml:space="preserve">Invoices can be sent to </w:t>
            </w:r>
            <w:hyperlink r:id="rId12" w:history="1">
              <w:r w:rsidRPr="006415C0">
                <w:rPr>
                  <w:rStyle w:val="Hyperlink"/>
                  <w:rFonts w:ascii="Aptos" w:hAnsi="Aptos"/>
                  <w:color w:val="002060"/>
                  <w:sz w:val="24"/>
                  <w:szCs w:val="24"/>
                </w:rPr>
                <w:t>dva.sustainability.payments@dva.gov.au</w:t>
              </w:r>
            </w:hyperlink>
            <w:r w:rsidRPr="006415C0">
              <w:rPr>
                <w:rFonts w:ascii="Aptos" w:hAnsi="Aptos"/>
                <w:color w:val="002060"/>
                <w:sz w:val="24"/>
                <w:szCs w:val="24"/>
              </w:rPr>
              <w:t xml:space="preserve"> for processing. Further information on sustainability payments, including Frequently Asked Questions (FAQs)</w:t>
            </w:r>
            <w:r w:rsidR="00217403">
              <w:rPr>
                <w:rFonts w:ascii="Aptos" w:hAnsi="Aptos"/>
                <w:color w:val="002060"/>
                <w:sz w:val="24"/>
                <w:szCs w:val="24"/>
              </w:rPr>
              <w:t>,</w:t>
            </w:r>
            <w:r w:rsidRPr="006415C0">
              <w:rPr>
                <w:rFonts w:ascii="Aptos" w:hAnsi="Aptos"/>
                <w:color w:val="002060"/>
                <w:sz w:val="24"/>
                <w:szCs w:val="24"/>
              </w:rPr>
              <w:t xml:space="preserve"> is available on the </w:t>
            </w:r>
            <w:hyperlink r:id="rId13" w:history="1">
              <w:r w:rsidRPr="006415C0">
                <w:rPr>
                  <w:rStyle w:val="Hyperlink"/>
                  <w:rFonts w:ascii="Aptos" w:hAnsi="Aptos"/>
                  <w:color w:val="002060"/>
                  <w:sz w:val="24"/>
                  <w:szCs w:val="24"/>
                </w:rPr>
                <w:t>DVA website</w:t>
              </w:r>
            </w:hyperlink>
            <w:r w:rsidRPr="006415C0">
              <w:rPr>
                <w:rFonts w:ascii="Aptos" w:hAnsi="Aptos"/>
                <w:color w:val="002060"/>
                <w:sz w:val="24"/>
                <w:szCs w:val="24"/>
              </w:rPr>
              <w:t>.</w:t>
            </w:r>
          </w:p>
          <w:p w14:paraId="5FF0B591" w14:textId="6520F60E" w:rsidR="006415C0" w:rsidRPr="009D3E7E" w:rsidRDefault="006415C0" w:rsidP="0045240F">
            <w:pPr>
              <w:ind w:left="37"/>
              <w:rPr>
                <w:rFonts w:ascii="Aptos" w:hAnsi="Aptos" w:cs="Arial"/>
                <w:color w:val="002060"/>
                <w:sz w:val="18"/>
                <w:szCs w:val="18"/>
              </w:rPr>
            </w:pPr>
          </w:p>
        </w:tc>
      </w:tr>
      <w:tr w:rsidR="00E16A10" w:rsidRPr="00C15C28" w14:paraId="0DA98907" w14:textId="77777777" w:rsidTr="00E7182D">
        <w:trPr>
          <w:trHeight w:val="2944"/>
        </w:trPr>
        <w:tc>
          <w:tcPr>
            <w:tcW w:w="1133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21508E" w14:textId="77777777" w:rsidR="00BC43E5" w:rsidRPr="00BE7136" w:rsidRDefault="00BC43E5" w:rsidP="00667865">
            <w:pPr>
              <w:jc w:val="both"/>
              <w:rPr>
                <w:rFonts w:ascii="Aptos" w:hAnsi="Aptos" w:cs="Arial"/>
                <w:color w:val="002060"/>
                <w:sz w:val="16"/>
                <w:szCs w:val="16"/>
              </w:rPr>
            </w:pPr>
          </w:p>
          <w:p w14:paraId="3F446B93" w14:textId="2667F867" w:rsidR="00D6742F" w:rsidRPr="00D6742F" w:rsidRDefault="00BE7136" w:rsidP="0045240F">
            <w:pPr>
              <w:rPr>
                <w:rFonts w:ascii="Aptos" w:hAnsi="Aptos" w:cs="Arial"/>
                <w:i/>
                <w:iCs/>
                <w:color w:val="002060"/>
                <w:sz w:val="36"/>
                <w:szCs w:val="24"/>
              </w:rPr>
            </w:pPr>
            <w:r>
              <w:rPr>
                <w:rFonts w:ascii="Aptos" w:hAnsi="Aptos" w:cs="Arial"/>
                <w:color w:val="002060"/>
                <w:sz w:val="36"/>
                <w:szCs w:val="24"/>
              </w:rPr>
              <w:t>Increased fees for Veterans</w:t>
            </w:r>
            <w:r w:rsidR="000D305C">
              <w:rPr>
                <w:rFonts w:ascii="Aptos" w:hAnsi="Aptos" w:cs="Arial"/>
                <w:color w:val="002060"/>
                <w:sz w:val="36"/>
                <w:szCs w:val="24"/>
              </w:rPr>
              <w:t>’</w:t>
            </w:r>
            <w:r>
              <w:rPr>
                <w:rFonts w:ascii="Aptos" w:hAnsi="Aptos" w:cs="Arial"/>
                <w:color w:val="002060"/>
                <w:sz w:val="36"/>
                <w:szCs w:val="24"/>
              </w:rPr>
              <w:t xml:space="preserve"> Home Care and Community Nursing </w:t>
            </w:r>
          </w:p>
          <w:p w14:paraId="7D82CE5F" w14:textId="75ED3FB4" w:rsidR="000D305C" w:rsidRDefault="000D305C" w:rsidP="000D305C">
            <w:pPr>
              <w:rPr>
                <w:rFonts w:ascii="Aptos" w:eastAsia="Calibri" w:hAnsi="Aptos" w:cs="Calibri"/>
                <w:color w:val="002060"/>
                <w:sz w:val="24"/>
                <w:szCs w:val="24"/>
              </w:rPr>
            </w:pPr>
            <w:r w:rsidRPr="000D305C">
              <w:rPr>
                <w:rFonts w:ascii="Aptos" w:eastAsia="Calibri" w:hAnsi="Aptos" w:cs="Calibri"/>
                <w:color w:val="002060"/>
                <w:sz w:val="24"/>
                <w:szCs w:val="24"/>
              </w:rPr>
              <w:t>DVA is continuing to support the Fair Work Commission’s (FWC) decisions on the Aged Care Work Value Case (ACWVC).</w:t>
            </w:r>
          </w:p>
          <w:p w14:paraId="7DA729C3" w14:textId="77777777" w:rsidR="006B73AB" w:rsidRPr="000D305C" w:rsidRDefault="006B73AB" w:rsidP="000D305C">
            <w:pPr>
              <w:rPr>
                <w:rFonts w:ascii="Aptos" w:eastAsia="Calibri" w:hAnsi="Aptos" w:cs="Calibri"/>
                <w:color w:val="002060"/>
                <w:sz w:val="24"/>
                <w:szCs w:val="24"/>
              </w:rPr>
            </w:pPr>
          </w:p>
          <w:p w14:paraId="1E341B8F" w14:textId="77777777" w:rsidR="000D305C" w:rsidRDefault="000D305C" w:rsidP="000D305C">
            <w:pPr>
              <w:rPr>
                <w:rFonts w:ascii="Aptos" w:eastAsia="Calibri" w:hAnsi="Aptos" w:cs="Calibri"/>
                <w:color w:val="002060"/>
                <w:sz w:val="24"/>
                <w:szCs w:val="24"/>
              </w:rPr>
            </w:pPr>
            <w:r w:rsidRPr="000D305C">
              <w:rPr>
                <w:rFonts w:ascii="Aptos" w:eastAsia="Calibri" w:hAnsi="Aptos" w:cs="Calibri"/>
                <w:color w:val="002060"/>
                <w:sz w:val="24"/>
                <w:szCs w:val="24"/>
              </w:rPr>
              <w:t>As part of the Australian Government’s commitment to fund the FWC’s ACWVC Stage 3 decision to further increase award wages for aged care workers, the fees for the Veterans’ Home Care (VHC) and Community Nursing programs will be increased.</w:t>
            </w:r>
          </w:p>
          <w:p w14:paraId="6695FB5C" w14:textId="77777777" w:rsidR="006B73AB" w:rsidRPr="000D305C" w:rsidRDefault="006B73AB" w:rsidP="000D305C">
            <w:pPr>
              <w:rPr>
                <w:rFonts w:ascii="Aptos" w:eastAsia="Calibri" w:hAnsi="Aptos" w:cs="Calibri"/>
                <w:color w:val="002060"/>
                <w:sz w:val="24"/>
                <w:szCs w:val="24"/>
              </w:rPr>
            </w:pPr>
          </w:p>
          <w:p w14:paraId="5011F8F7" w14:textId="77777777" w:rsidR="000D305C" w:rsidRPr="000D305C" w:rsidRDefault="000D305C" w:rsidP="000D305C">
            <w:pPr>
              <w:rPr>
                <w:rFonts w:ascii="Aptos" w:eastAsia="Calibri" w:hAnsi="Aptos" w:cs="Calibri"/>
                <w:b/>
                <w:bCs/>
                <w:color w:val="002060"/>
                <w:sz w:val="24"/>
                <w:szCs w:val="24"/>
              </w:rPr>
            </w:pPr>
            <w:r w:rsidRPr="000D305C">
              <w:rPr>
                <w:rFonts w:ascii="Aptos" w:eastAsia="Calibri" w:hAnsi="Aptos" w:cs="Calibri"/>
                <w:b/>
                <w:bCs/>
                <w:color w:val="002060"/>
                <w:sz w:val="24"/>
                <w:szCs w:val="24"/>
              </w:rPr>
              <w:t>Implementing funding for the Veterans’ Home Care and Community Nursing programs</w:t>
            </w:r>
          </w:p>
          <w:p w14:paraId="5C890886" w14:textId="77777777" w:rsidR="000D305C" w:rsidRPr="000D305C" w:rsidRDefault="000D305C" w:rsidP="000D305C">
            <w:pPr>
              <w:rPr>
                <w:rFonts w:ascii="Aptos" w:eastAsia="Calibri" w:hAnsi="Aptos" w:cs="Calibri"/>
                <w:i/>
                <w:iCs/>
                <w:color w:val="002060"/>
                <w:sz w:val="24"/>
                <w:szCs w:val="24"/>
              </w:rPr>
            </w:pPr>
            <w:r w:rsidRPr="000D305C">
              <w:rPr>
                <w:rFonts w:ascii="Aptos" w:eastAsia="Calibri" w:hAnsi="Aptos" w:cs="Calibri"/>
                <w:i/>
                <w:iCs/>
                <w:color w:val="002060"/>
                <w:sz w:val="24"/>
                <w:szCs w:val="24"/>
              </w:rPr>
              <w:t>Fee increases</w:t>
            </w:r>
          </w:p>
          <w:p w14:paraId="1018F2FF" w14:textId="77777777" w:rsidR="000D305C" w:rsidRPr="000D305C" w:rsidRDefault="000D305C" w:rsidP="000D305C">
            <w:pPr>
              <w:rPr>
                <w:rFonts w:ascii="Aptos" w:eastAsia="Calibri" w:hAnsi="Aptos" w:cs="Calibri"/>
                <w:color w:val="002060"/>
                <w:sz w:val="24"/>
                <w:szCs w:val="24"/>
              </w:rPr>
            </w:pPr>
            <w:r w:rsidRPr="000D305C">
              <w:rPr>
                <w:rFonts w:ascii="Aptos" w:eastAsia="Calibri" w:hAnsi="Aptos" w:cs="Calibri"/>
                <w:color w:val="002060"/>
                <w:sz w:val="24"/>
                <w:szCs w:val="24"/>
              </w:rPr>
              <w:t>The Government has provided $19.5 million for DVA’s VHC and Community Nursing programs to support providers to pay the increased award wages, to cover services delivered by the following workers:</w:t>
            </w:r>
          </w:p>
          <w:p w14:paraId="282ECCD9" w14:textId="77777777" w:rsidR="000D305C" w:rsidRPr="000D305C" w:rsidRDefault="000D305C" w:rsidP="000D305C">
            <w:pPr>
              <w:pStyle w:val="ListParagraph"/>
              <w:numPr>
                <w:ilvl w:val="0"/>
                <w:numId w:val="6"/>
              </w:numPr>
              <w:spacing w:line="279" w:lineRule="auto"/>
              <w:rPr>
                <w:rFonts w:ascii="Aptos" w:eastAsia="Calibri" w:hAnsi="Aptos" w:cs="Calibri"/>
                <w:color w:val="002060"/>
                <w:sz w:val="24"/>
                <w:szCs w:val="24"/>
              </w:rPr>
            </w:pPr>
            <w:r w:rsidRPr="000D305C">
              <w:rPr>
                <w:rFonts w:ascii="Aptos" w:eastAsia="Calibri" w:hAnsi="Aptos" w:cs="Calibri"/>
                <w:color w:val="002060"/>
                <w:sz w:val="24"/>
                <w:szCs w:val="24"/>
              </w:rPr>
              <w:t>personal care workers</w:t>
            </w:r>
          </w:p>
          <w:p w14:paraId="26755AC1" w14:textId="77777777" w:rsidR="000D305C" w:rsidRPr="000D305C" w:rsidRDefault="000D305C" w:rsidP="000D305C">
            <w:pPr>
              <w:pStyle w:val="ListParagraph"/>
              <w:numPr>
                <w:ilvl w:val="0"/>
                <w:numId w:val="6"/>
              </w:numPr>
              <w:spacing w:line="279" w:lineRule="auto"/>
              <w:rPr>
                <w:rFonts w:ascii="Aptos" w:eastAsia="Calibri" w:hAnsi="Aptos" w:cs="Calibri"/>
                <w:color w:val="002060"/>
                <w:sz w:val="24"/>
                <w:szCs w:val="24"/>
              </w:rPr>
            </w:pPr>
            <w:r w:rsidRPr="000D305C">
              <w:rPr>
                <w:rFonts w:ascii="Aptos" w:eastAsia="Calibri" w:hAnsi="Aptos" w:cs="Calibri"/>
                <w:color w:val="002060"/>
                <w:sz w:val="24"/>
                <w:szCs w:val="24"/>
              </w:rPr>
              <w:t>home care workers</w:t>
            </w:r>
          </w:p>
          <w:p w14:paraId="7F27613F" w14:textId="2DF78CAB" w:rsidR="000D305C" w:rsidRPr="000D305C" w:rsidRDefault="000D305C" w:rsidP="000D305C">
            <w:pPr>
              <w:pStyle w:val="ListParagraph"/>
              <w:numPr>
                <w:ilvl w:val="0"/>
                <w:numId w:val="6"/>
              </w:numPr>
              <w:spacing w:line="279" w:lineRule="auto"/>
              <w:rPr>
                <w:rFonts w:ascii="Aptos" w:eastAsia="Calibri" w:hAnsi="Aptos" w:cs="Calibri"/>
                <w:color w:val="002060"/>
                <w:sz w:val="24"/>
                <w:szCs w:val="24"/>
              </w:rPr>
            </w:pPr>
            <w:r w:rsidRPr="000D305C">
              <w:rPr>
                <w:rFonts w:ascii="Aptos" w:eastAsia="Calibri" w:hAnsi="Aptos" w:cs="Calibri"/>
                <w:color w:val="002060"/>
                <w:sz w:val="24"/>
                <w:szCs w:val="24"/>
              </w:rPr>
              <w:t>assistants in nursing</w:t>
            </w:r>
            <w:r w:rsidR="00927D58">
              <w:rPr>
                <w:rFonts w:ascii="Aptos" w:eastAsia="Calibri" w:hAnsi="Aptos" w:cs="Calibri"/>
                <w:color w:val="002060"/>
                <w:sz w:val="24"/>
                <w:szCs w:val="24"/>
              </w:rPr>
              <w:t>.</w:t>
            </w:r>
          </w:p>
          <w:p w14:paraId="24CAA480" w14:textId="77777777" w:rsidR="000D305C" w:rsidRDefault="000D305C" w:rsidP="000D305C">
            <w:pPr>
              <w:rPr>
                <w:rFonts w:ascii="Aptos" w:eastAsia="Calibri" w:hAnsi="Aptos" w:cs="Calibri"/>
                <w:color w:val="002060"/>
                <w:sz w:val="24"/>
                <w:szCs w:val="24"/>
              </w:rPr>
            </w:pPr>
            <w:r w:rsidRPr="000D305C">
              <w:rPr>
                <w:rFonts w:ascii="Aptos" w:eastAsia="Calibri" w:hAnsi="Aptos" w:cs="Calibri"/>
                <w:color w:val="002060"/>
                <w:sz w:val="24"/>
                <w:szCs w:val="24"/>
              </w:rPr>
              <w:lastRenderedPageBreak/>
              <w:t xml:space="preserve">The VHC and Community Nursing (for personal care fee items) Schedule of Fees will be updated to reflect the Fair Work Commission’s Stage 3 decision to increase award wages for services delivered by workers under the in-scope awards. </w:t>
            </w:r>
          </w:p>
          <w:p w14:paraId="74D03172" w14:textId="77777777" w:rsidR="006B73AB" w:rsidRPr="000D305C" w:rsidRDefault="006B73AB" w:rsidP="000D305C">
            <w:pPr>
              <w:rPr>
                <w:rFonts w:ascii="Aptos" w:eastAsia="Calibri" w:hAnsi="Aptos" w:cs="Calibri"/>
                <w:color w:val="002060"/>
                <w:sz w:val="24"/>
                <w:szCs w:val="24"/>
              </w:rPr>
            </w:pPr>
          </w:p>
          <w:p w14:paraId="0D158AA9" w14:textId="1D24D0E1" w:rsidR="000D305C" w:rsidRDefault="000D305C" w:rsidP="000D305C">
            <w:pPr>
              <w:rPr>
                <w:rFonts w:ascii="Aptos" w:eastAsia="Calibri" w:hAnsi="Aptos" w:cs="Calibri"/>
                <w:color w:val="002060"/>
                <w:sz w:val="24"/>
                <w:szCs w:val="24"/>
              </w:rPr>
            </w:pPr>
            <w:r w:rsidRPr="000D305C">
              <w:rPr>
                <w:rFonts w:ascii="Aptos" w:eastAsia="Calibri" w:hAnsi="Aptos" w:cs="Calibri"/>
                <w:color w:val="002060"/>
                <w:sz w:val="24"/>
                <w:szCs w:val="24"/>
              </w:rPr>
              <w:t>The increase to VHC and Community Nursing fees will be from 1 January 2025 for all services delivered under the VHC Program, and for personal care services delivered under the Community Nursing Program, for claim periods commencing on or after this date.</w:t>
            </w:r>
            <w:r w:rsidR="006B73AB">
              <w:rPr>
                <w:rFonts w:ascii="Aptos" w:eastAsia="Calibri" w:hAnsi="Aptos" w:cs="Calibri"/>
                <w:color w:val="002060"/>
                <w:sz w:val="24"/>
                <w:szCs w:val="24"/>
              </w:rPr>
              <w:t xml:space="preserve"> </w:t>
            </w:r>
            <w:r w:rsidRPr="000D305C">
              <w:rPr>
                <w:rFonts w:ascii="Aptos" w:eastAsia="Calibri" w:hAnsi="Aptos" w:cs="Calibri"/>
                <w:color w:val="002060"/>
                <w:sz w:val="24"/>
                <w:szCs w:val="24"/>
              </w:rPr>
              <w:t>A further increase will occur on 1 October 2025, for all claim periods commencing on or after this date. This approach aligns with the FWC’s directions.</w:t>
            </w:r>
          </w:p>
          <w:p w14:paraId="664C7F26" w14:textId="77777777" w:rsidR="006B73AB" w:rsidRPr="000D305C" w:rsidRDefault="006B73AB" w:rsidP="000D305C">
            <w:pPr>
              <w:rPr>
                <w:rFonts w:ascii="Aptos" w:eastAsia="Calibri" w:hAnsi="Aptos" w:cs="Calibri"/>
                <w:color w:val="002060"/>
                <w:sz w:val="24"/>
                <w:szCs w:val="24"/>
              </w:rPr>
            </w:pPr>
          </w:p>
          <w:p w14:paraId="0E7525CD" w14:textId="77777777" w:rsidR="000D305C" w:rsidRPr="000D305C" w:rsidRDefault="000D305C" w:rsidP="000D305C">
            <w:pPr>
              <w:rPr>
                <w:rFonts w:ascii="Aptos" w:hAnsi="Aptos" w:cs="Calibri"/>
                <w:i/>
                <w:iCs/>
                <w:color w:val="002060"/>
                <w:sz w:val="24"/>
                <w:szCs w:val="24"/>
              </w:rPr>
            </w:pPr>
            <w:r w:rsidRPr="000D305C">
              <w:rPr>
                <w:rFonts w:ascii="Aptos" w:hAnsi="Aptos" w:cs="Calibri"/>
                <w:i/>
                <w:iCs/>
                <w:color w:val="002060"/>
                <w:sz w:val="24"/>
                <w:szCs w:val="24"/>
              </w:rPr>
              <w:t>Historical leave liabilities</w:t>
            </w:r>
          </w:p>
          <w:p w14:paraId="3F37E9FC" w14:textId="24714B19" w:rsidR="000D305C" w:rsidRPr="000D305C" w:rsidRDefault="000D305C" w:rsidP="000D305C">
            <w:pPr>
              <w:rPr>
                <w:rFonts w:ascii="Aptos" w:hAnsi="Aptos" w:cs="Calibri"/>
                <w:color w:val="002060"/>
                <w:sz w:val="24"/>
                <w:szCs w:val="24"/>
              </w:rPr>
            </w:pPr>
            <w:r w:rsidRPr="000D305C">
              <w:rPr>
                <w:rFonts w:ascii="Aptos" w:hAnsi="Aptos" w:cs="Calibri"/>
                <w:color w:val="002060"/>
                <w:sz w:val="24"/>
                <w:szCs w:val="24"/>
              </w:rPr>
              <w:t xml:space="preserve">Additional funding will also be made available to </w:t>
            </w:r>
            <w:r w:rsidRPr="000D305C">
              <w:rPr>
                <w:rFonts w:ascii="Aptos" w:eastAsia="Calibri" w:hAnsi="Aptos" w:cs="Calibri"/>
                <w:color w:val="002060"/>
                <w:sz w:val="24"/>
                <w:szCs w:val="24"/>
              </w:rPr>
              <w:t>VHC</w:t>
            </w:r>
            <w:r w:rsidRPr="000D305C">
              <w:rPr>
                <w:rFonts w:ascii="Aptos" w:hAnsi="Aptos" w:cs="Calibri"/>
                <w:color w:val="002060"/>
                <w:sz w:val="24"/>
                <w:szCs w:val="24"/>
              </w:rPr>
              <w:t xml:space="preserve"> and </w:t>
            </w:r>
            <w:r w:rsidRPr="000D305C">
              <w:rPr>
                <w:rFonts w:ascii="Aptos" w:eastAsia="Calibri" w:hAnsi="Aptos" w:cs="Calibri"/>
                <w:color w:val="002060"/>
                <w:sz w:val="24"/>
                <w:szCs w:val="24"/>
              </w:rPr>
              <w:t>Community Nursing</w:t>
            </w:r>
            <w:r w:rsidRPr="000D305C">
              <w:rPr>
                <w:rFonts w:ascii="Aptos" w:hAnsi="Aptos" w:cs="Calibri"/>
                <w:color w:val="002060"/>
                <w:sz w:val="24"/>
                <w:szCs w:val="24"/>
              </w:rPr>
              <w:t xml:space="preserve"> providers to fund historical leave liabilities as a result of the FWC’s decision. DVA will only fund these for VHC and Community Nursing providers who are not entitled to receive funding through the Department of Health and Aged Care for providers who deliver services under Aged Care programs. Further information on how to claim will be provided in upcoming Newsletters as funding arrangements are finalised. </w:t>
            </w:r>
          </w:p>
          <w:p w14:paraId="67C50DA6" w14:textId="4E5B7C6E" w:rsidR="00E16A10" w:rsidRPr="000D305C" w:rsidRDefault="00E16A10" w:rsidP="000D305C">
            <w:pPr>
              <w:rPr>
                <w:rFonts w:ascii="Aptos" w:hAnsi="Aptos" w:cs="Arial"/>
                <w:b/>
                <w:color w:val="002060"/>
                <w:sz w:val="18"/>
                <w:szCs w:val="18"/>
              </w:rPr>
            </w:pPr>
          </w:p>
        </w:tc>
      </w:tr>
      <w:tr w:rsidR="00AF06BC" w:rsidRPr="00C15C28" w14:paraId="6B57760B" w14:textId="77777777" w:rsidTr="00E7182D">
        <w:trPr>
          <w:trHeight w:val="2944"/>
        </w:trPr>
        <w:tc>
          <w:tcPr>
            <w:tcW w:w="11335" w:type="dxa"/>
            <w:gridSpan w:val="2"/>
            <w:tcBorders>
              <w:top w:val="single" w:sz="4" w:space="0" w:color="auto"/>
              <w:bottom w:val="single" w:sz="4" w:space="0" w:color="auto"/>
            </w:tcBorders>
            <w:shd w:val="clear" w:color="auto" w:fill="CCCCFF"/>
          </w:tcPr>
          <w:p w14:paraId="3D97061C" w14:textId="373ED873" w:rsidR="00AF06BC" w:rsidRPr="00822A77" w:rsidRDefault="00AF06BC" w:rsidP="00667865">
            <w:pPr>
              <w:jc w:val="both"/>
              <w:rPr>
                <w:rFonts w:ascii="Aptos" w:hAnsi="Aptos" w:cs="Arial"/>
                <w:color w:val="002060"/>
                <w:sz w:val="18"/>
                <w:szCs w:val="18"/>
              </w:rPr>
            </w:pPr>
          </w:p>
          <w:p w14:paraId="65D23331" w14:textId="77777777" w:rsidR="00AF06BC" w:rsidRPr="004334CF" w:rsidRDefault="00AF06BC" w:rsidP="00AF06BC">
            <w:pPr>
              <w:jc w:val="both"/>
              <w:rPr>
                <w:rFonts w:ascii="Aptos" w:hAnsi="Aptos" w:cs="Arial"/>
                <w:color w:val="002060"/>
                <w:sz w:val="24"/>
                <w:szCs w:val="24"/>
              </w:rPr>
            </w:pPr>
            <w:r>
              <w:rPr>
                <w:rFonts w:ascii="Aptos" w:hAnsi="Aptos" w:cs="Arial"/>
                <w:color w:val="002060"/>
                <w:sz w:val="36"/>
                <w:szCs w:val="24"/>
              </w:rPr>
              <w:t>Claiming Exceptional Case and Schedule of Fees Items</w:t>
            </w:r>
          </w:p>
          <w:p w14:paraId="4A712F43" w14:textId="28516EE8" w:rsidR="00AF06BC" w:rsidRDefault="00AF06BC" w:rsidP="00AF06BC">
            <w:pPr>
              <w:rPr>
                <w:rFonts w:ascii="Aptos" w:hAnsi="Aptos"/>
                <w:color w:val="002060"/>
                <w:sz w:val="24"/>
                <w:szCs w:val="24"/>
              </w:rPr>
            </w:pPr>
            <w:r w:rsidRPr="00E16A10">
              <w:rPr>
                <w:rFonts w:ascii="Aptos" w:hAnsi="Aptos"/>
                <w:color w:val="002060"/>
                <w:sz w:val="24"/>
                <w:szCs w:val="24"/>
              </w:rPr>
              <w:t>Providers seeking Exceptional Case approval are reminded Exceptional Case applications must include all required care that a client requires during a claim period. For example, where a client requires overnight care as well as care during the day, the EC application should include daytime and overnight care, and the overnight care must not be claimed through the Schedule of Fees. This allows the client’s care needs to be assessed holistically and ensure the client’s full clinically required nursing and personal care needs are met.</w:t>
            </w:r>
          </w:p>
          <w:p w14:paraId="22063EF4" w14:textId="77777777" w:rsidR="00217403" w:rsidRDefault="00217403" w:rsidP="00AF06BC">
            <w:pPr>
              <w:rPr>
                <w:rFonts w:ascii="Aptos" w:hAnsi="Aptos"/>
                <w:color w:val="002060"/>
                <w:sz w:val="24"/>
                <w:szCs w:val="24"/>
              </w:rPr>
            </w:pPr>
          </w:p>
          <w:p w14:paraId="4C02C288" w14:textId="6399636F" w:rsidR="00AF06BC" w:rsidRPr="00E16A10" w:rsidRDefault="00AF06BC" w:rsidP="00AF06BC">
            <w:pPr>
              <w:rPr>
                <w:rFonts w:ascii="Aptos" w:hAnsi="Aptos"/>
                <w:color w:val="002060"/>
                <w:sz w:val="24"/>
                <w:szCs w:val="24"/>
              </w:rPr>
            </w:pPr>
            <w:r w:rsidRPr="004334CF">
              <w:rPr>
                <w:rFonts w:ascii="Aptos" w:hAnsi="Aptos" w:cs="Arial"/>
                <w:b/>
                <w:noProof/>
                <w:color w:val="002060"/>
                <w:sz w:val="24"/>
                <w:szCs w:val="24"/>
                <w:lang w:eastAsia="en-AU"/>
              </w:rPr>
              <w:drawing>
                <wp:anchor distT="0" distB="0" distL="114300" distR="114300" simplePos="0" relativeHeight="251676672" behindDoc="0" locked="0" layoutInCell="1" allowOverlap="1" wp14:anchorId="05005193" wp14:editId="665FB778">
                  <wp:simplePos x="0" y="0"/>
                  <wp:positionH relativeFrom="column">
                    <wp:posOffset>5906770</wp:posOffset>
                  </wp:positionH>
                  <wp:positionV relativeFrom="paragraph">
                    <wp:posOffset>544830</wp:posOffset>
                  </wp:positionV>
                  <wp:extent cx="1073150" cy="1073150"/>
                  <wp:effectExtent l="0" t="0" r="0" b="0"/>
                  <wp:wrapSquare wrapText="bothSides"/>
                  <wp:docPr id="1395491932" name="Picture 1395491932" descr="C:\Users\EKN350\Desktop\Icons\Capitalist Bussiness\flat icons\PNG\128x128\Schedule-separ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KN350\Desktop\Icons\Capitalist Bussiness\flat icons\PNG\128x128\Schedule-separat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6A10">
              <w:rPr>
                <w:rFonts w:ascii="Aptos" w:hAnsi="Aptos"/>
                <w:color w:val="002060"/>
                <w:sz w:val="24"/>
                <w:szCs w:val="24"/>
              </w:rPr>
              <w:t xml:space="preserve">Where a community nursing provider delivers services under the Schedule of Fees and is waiting for </w:t>
            </w:r>
            <w:r w:rsidR="00217403">
              <w:rPr>
                <w:rFonts w:ascii="Aptos" w:hAnsi="Aptos"/>
                <w:color w:val="002060"/>
                <w:sz w:val="24"/>
                <w:szCs w:val="24"/>
              </w:rPr>
              <w:t>the</w:t>
            </w:r>
            <w:r w:rsidRPr="00E16A10">
              <w:rPr>
                <w:rFonts w:ascii="Aptos" w:hAnsi="Aptos"/>
                <w:color w:val="002060"/>
                <w:sz w:val="24"/>
                <w:szCs w:val="24"/>
              </w:rPr>
              <w:t xml:space="preserve"> outcome of an application for Exceptional Case status, services delivered will be taken into consideration when assessing the Exceptional Case application.</w:t>
            </w:r>
          </w:p>
          <w:p w14:paraId="20EDAC2E" w14:textId="2F50FB19" w:rsidR="00AF06BC" w:rsidRPr="00E16A10" w:rsidRDefault="00AF06BC" w:rsidP="00AF06BC">
            <w:pPr>
              <w:rPr>
                <w:rFonts w:ascii="Aptos" w:hAnsi="Aptos"/>
                <w:color w:val="002060"/>
                <w:sz w:val="24"/>
                <w:szCs w:val="24"/>
              </w:rPr>
            </w:pPr>
            <w:r w:rsidRPr="00E16A10">
              <w:rPr>
                <w:rFonts w:ascii="Aptos" w:hAnsi="Aptos"/>
                <w:color w:val="002060"/>
                <w:sz w:val="24"/>
                <w:szCs w:val="24"/>
              </w:rPr>
              <w:t> </w:t>
            </w:r>
          </w:p>
          <w:p w14:paraId="0D009B6E" w14:textId="0E8891E3" w:rsidR="00AF06BC" w:rsidRPr="00217403" w:rsidRDefault="00AF06BC" w:rsidP="00AF06BC">
            <w:pPr>
              <w:jc w:val="both"/>
              <w:rPr>
                <w:rFonts w:ascii="Aptos" w:hAnsi="Aptos"/>
                <w:color w:val="002060"/>
                <w:sz w:val="24"/>
                <w:szCs w:val="24"/>
              </w:rPr>
            </w:pPr>
            <w:r w:rsidRPr="00E16A10">
              <w:rPr>
                <w:rFonts w:ascii="Aptos" w:hAnsi="Aptos"/>
                <w:color w:val="002060"/>
                <w:sz w:val="24"/>
                <w:szCs w:val="24"/>
              </w:rPr>
              <w:t>Other items including Assessment (NA02), Bereavement follow-up (NA03), Additional Travel (NA10), and Nursing Consumables (NC10-NC70) are the only Schedule of Fees item numbers that can be claimed in the same period as an Exceptional Case item number (NO65 or NO70), where appropriate to do so.</w:t>
            </w:r>
          </w:p>
        </w:tc>
      </w:tr>
      <w:tr w:rsidR="006D2638" w:rsidRPr="00C15C28" w14:paraId="36F847CA" w14:textId="77777777" w:rsidTr="00E7182D">
        <w:trPr>
          <w:trHeight w:val="2559"/>
        </w:trPr>
        <w:tc>
          <w:tcPr>
            <w:tcW w:w="1133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C99E9" w14:textId="77777777" w:rsidR="006D2638" w:rsidRPr="00F8492D" w:rsidRDefault="006D2638" w:rsidP="006D2638">
            <w:pPr>
              <w:ind w:right="-957"/>
              <w:jc w:val="both"/>
              <w:rPr>
                <w:rFonts w:ascii="Aptos" w:hAnsi="Aptos" w:cs="Arial"/>
                <w:color w:val="002060"/>
                <w:sz w:val="18"/>
                <w:szCs w:val="18"/>
              </w:rPr>
            </w:pPr>
            <w:r w:rsidRPr="004334CF">
              <w:rPr>
                <w:rFonts w:ascii="Aptos" w:hAnsi="Aptos" w:cs="Arial"/>
                <w:b/>
                <w:noProof/>
                <w:color w:val="002060"/>
                <w:sz w:val="24"/>
                <w:szCs w:val="24"/>
                <w:lang w:eastAsia="en-AU"/>
              </w:rPr>
              <w:drawing>
                <wp:anchor distT="0" distB="0" distL="114300" distR="114300" simplePos="0" relativeHeight="251678720" behindDoc="0" locked="0" layoutInCell="1" allowOverlap="1" wp14:anchorId="6DE6D7C9" wp14:editId="4BF13E31">
                  <wp:simplePos x="0" y="0"/>
                  <wp:positionH relativeFrom="column">
                    <wp:posOffset>-61595</wp:posOffset>
                  </wp:positionH>
                  <wp:positionV relativeFrom="paragraph">
                    <wp:posOffset>239395</wp:posOffset>
                  </wp:positionV>
                  <wp:extent cx="1019175" cy="1019175"/>
                  <wp:effectExtent l="0" t="0" r="0" b="9525"/>
                  <wp:wrapSquare wrapText="bothSides"/>
                  <wp:docPr id="8" name="Picture 8" descr="C:\Users\EKN350\Desktop\Icons\Capitalist Bussiness\flat icons\PNG\128x128\Not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KN350\Desktop\Icons\Capitalist Bussiness\flat icons\PNG\128x128\Notebook.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C93F30" w14:textId="77777777" w:rsidR="006D2638" w:rsidRPr="00721723" w:rsidRDefault="006D2638" w:rsidP="006D2638">
            <w:pPr>
              <w:ind w:left="164" w:right="-957" w:hanging="156"/>
              <w:rPr>
                <w:rFonts w:ascii="Aptos" w:hAnsi="Aptos" w:cs="Arial"/>
                <w:color w:val="002060"/>
                <w:sz w:val="36"/>
                <w:szCs w:val="36"/>
              </w:rPr>
            </w:pPr>
            <w:r w:rsidRPr="00721723">
              <w:rPr>
                <w:rFonts w:ascii="Aptos" w:hAnsi="Aptos" w:cs="Arial"/>
                <w:color w:val="002060"/>
                <w:sz w:val="36"/>
                <w:szCs w:val="36"/>
              </w:rPr>
              <w:t xml:space="preserve">National Nursing Workforce Strategy </w:t>
            </w:r>
          </w:p>
          <w:p w14:paraId="3789C91D" w14:textId="77777777" w:rsidR="006D2638" w:rsidRPr="00721723" w:rsidRDefault="006D2638" w:rsidP="006D2638">
            <w:pPr>
              <w:ind w:left="164" w:right="179"/>
              <w:rPr>
                <w:rFonts w:ascii="Aptos" w:hAnsi="Aptos" w:cs="Arial"/>
                <w:color w:val="002060"/>
                <w:sz w:val="24"/>
                <w:szCs w:val="24"/>
              </w:rPr>
            </w:pPr>
            <w:r w:rsidRPr="00721723">
              <w:rPr>
                <w:rFonts w:ascii="Aptos" w:hAnsi="Aptos" w:cs="Arial"/>
                <w:color w:val="002060"/>
                <w:sz w:val="24"/>
                <w:szCs w:val="24"/>
              </w:rPr>
              <w:t xml:space="preserve">The draft National Nursing Workforce Strategy has been released for the purpose of seeking feedback from people and organisations with an interest in the nursing workforce. The draft strategy has been developed with input from 6,000 stakeholders and aligns with reforms and strategies that affect the nursing profession.  </w:t>
            </w:r>
          </w:p>
          <w:p w14:paraId="3BF52B9C" w14:textId="77777777" w:rsidR="006D2638" w:rsidRPr="00721723" w:rsidRDefault="006D2638" w:rsidP="006D2638">
            <w:pPr>
              <w:ind w:left="164" w:right="179"/>
              <w:rPr>
                <w:rFonts w:ascii="Aptos" w:hAnsi="Aptos" w:cs="Arial"/>
                <w:color w:val="002060"/>
                <w:sz w:val="24"/>
                <w:szCs w:val="24"/>
              </w:rPr>
            </w:pPr>
          </w:p>
          <w:p w14:paraId="4796E3DA" w14:textId="77777777" w:rsidR="006D2638" w:rsidRPr="00721723" w:rsidRDefault="006D2638" w:rsidP="006D2638">
            <w:pPr>
              <w:ind w:left="164" w:right="179"/>
              <w:rPr>
                <w:rFonts w:ascii="Aptos" w:hAnsi="Aptos" w:cs="Arial"/>
                <w:color w:val="002060"/>
                <w:sz w:val="24"/>
                <w:szCs w:val="24"/>
              </w:rPr>
            </w:pPr>
            <w:r w:rsidRPr="00721723">
              <w:rPr>
                <w:rFonts w:ascii="Aptos" w:hAnsi="Aptos"/>
                <w:noProof/>
                <w:sz w:val="24"/>
                <w:szCs w:val="24"/>
              </w:rPr>
              <w:drawing>
                <wp:anchor distT="0" distB="0" distL="114300" distR="114300" simplePos="0" relativeHeight="251679744" behindDoc="0" locked="0" layoutInCell="1" allowOverlap="1" wp14:anchorId="00EBC787" wp14:editId="1C187DAB">
                  <wp:simplePos x="0" y="0"/>
                  <wp:positionH relativeFrom="column">
                    <wp:posOffset>6085205</wp:posOffset>
                  </wp:positionH>
                  <wp:positionV relativeFrom="paragraph">
                    <wp:posOffset>351155</wp:posOffset>
                  </wp:positionV>
                  <wp:extent cx="855345" cy="838200"/>
                  <wp:effectExtent l="0" t="0" r="1905" b="0"/>
                  <wp:wrapSquare wrapText="bothSides"/>
                  <wp:docPr id="779451816"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51816" name="Picture 1" descr="A qr code with a few black squares&#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855345" cy="838200"/>
                          </a:xfrm>
                          <a:prstGeom prst="rect">
                            <a:avLst/>
                          </a:prstGeom>
                        </pic:spPr>
                      </pic:pic>
                    </a:graphicData>
                  </a:graphic>
                </wp:anchor>
              </w:drawing>
            </w:r>
            <w:r w:rsidRPr="00721723">
              <w:rPr>
                <w:rFonts w:ascii="Aptos" w:hAnsi="Aptos" w:cs="Arial"/>
                <w:color w:val="002060"/>
                <w:sz w:val="24"/>
                <w:szCs w:val="24"/>
              </w:rPr>
              <w:t>The Department of Health and Aged Care invite you to provide your feedback on the draft strategy through an online survey that is open from 11 September 2024 until midnight 20 October 2024.</w:t>
            </w:r>
          </w:p>
          <w:p w14:paraId="02AFF66B" w14:textId="77777777" w:rsidR="006D2638" w:rsidRPr="00721723" w:rsidRDefault="006D2638" w:rsidP="006D2638">
            <w:pPr>
              <w:ind w:left="164" w:right="-957"/>
              <w:rPr>
                <w:rFonts w:ascii="Aptos" w:hAnsi="Aptos" w:cs="Arial"/>
                <w:color w:val="002060"/>
                <w:sz w:val="24"/>
                <w:szCs w:val="24"/>
              </w:rPr>
            </w:pPr>
          </w:p>
          <w:p w14:paraId="338D20A4" w14:textId="77777777" w:rsidR="006D2638" w:rsidRPr="00721723" w:rsidRDefault="006D2638" w:rsidP="006D2638">
            <w:pPr>
              <w:pStyle w:val="Default"/>
              <w:ind w:left="164"/>
              <w:rPr>
                <w:rFonts w:ascii="Aptos" w:hAnsi="Aptos" w:cs="Arial"/>
                <w:color w:val="002060"/>
              </w:rPr>
            </w:pPr>
            <w:r w:rsidRPr="00721723">
              <w:rPr>
                <w:rFonts w:ascii="Aptos" w:hAnsi="Aptos" w:cs="Arial"/>
                <w:color w:val="002060"/>
              </w:rPr>
              <w:t xml:space="preserve">Please visit the survey at </w:t>
            </w:r>
            <w:hyperlink r:id="rId17" w:history="1">
              <w:r w:rsidRPr="00721723">
                <w:rPr>
                  <w:rStyle w:val="Hyperlink"/>
                  <w:rFonts w:ascii="Aptos" w:hAnsi="Aptos" w:cs="Montserrat"/>
                </w:rPr>
                <w:t>https://consultations.health.gov.au/health-workforce/nnws</w:t>
              </w:r>
            </w:hyperlink>
            <w:r w:rsidRPr="00721723">
              <w:rPr>
                <w:rFonts w:ascii="Aptos" w:hAnsi="Aptos" w:cs="Montserrat"/>
                <w:color w:val="0562C1"/>
              </w:rPr>
              <w:t xml:space="preserve"> or </w:t>
            </w:r>
            <w:r w:rsidRPr="00721723">
              <w:rPr>
                <w:rFonts w:ascii="Aptos" w:hAnsi="Aptos" w:cs="Montserrat"/>
                <w:color w:val="1F3864" w:themeColor="accent5" w:themeShade="80"/>
              </w:rPr>
              <w:t xml:space="preserve">scan the </w:t>
            </w:r>
            <w:r w:rsidRPr="00721723">
              <w:rPr>
                <w:rFonts w:ascii="Aptos" w:hAnsi="Aptos" w:cs="Arial"/>
                <w:color w:val="1F3864" w:themeColor="accent5" w:themeShade="80"/>
              </w:rPr>
              <w:t>Q</w:t>
            </w:r>
            <w:r w:rsidRPr="00721723">
              <w:rPr>
                <w:rFonts w:ascii="Aptos" w:hAnsi="Aptos" w:cs="Arial"/>
                <w:color w:val="002060"/>
              </w:rPr>
              <w:t xml:space="preserve">R code to access the survey. </w:t>
            </w:r>
          </w:p>
          <w:p w14:paraId="482A0F25" w14:textId="77777777" w:rsidR="006D2638" w:rsidRPr="00721723" w:rsidRDefault="006D2638" w:rsidP="006D2638">
            <w:pPr>
              <w:pStyle w:val="Default"/>
              <w:ind w:left="164"/>
              <w:rPr>
                <w:rFonts w:ascii="Aptos" w:hAnsi="Aptos" w:cs="Arial"/>
                <w:color w:val="002060"/>
              </w:rPr>
            </w:pPr>
          </w:p>
          <w:p w14:paraId="1093C793" w14:textId="77777777" w:rsidR="006D2638" w:rsidRPr="00721723" w:rsidRDefault="006D2638" w:rsidP="006D2638">
            <w:pPr>
              <w:pStyle w:val="Default"/>
              <w:ind w:left="164"/>
              <w:rPr>
                <w:rStyle w:val="A5"/>
                <w:rFonts w:ascii="Aptos" w:hAnsi="Aptos" w:cs="Montserrat"/>
                <w:color w:val="000000"/>
                <w:sz w:val="24"/>
                <w:szCs w:val="24"/>
                <w:u w:val="none"/>
              </w:rPr>
            </w:pPr>
            <w:r>
              <w:rPr>
                <w:rFonts w:ascii="Aptos" w:hAnsi="Aptos" w:cs="Arial"/>
                <w:color w:val="002060"/>
              </w:rPr>
              <w:t>For any questions on t</w:t>
            </w:r>
            <w:r w:rsidRPr="00721723">
              <w:rPr>
                <w:rFonts w:ascii="Aptos" w:hAnsi="Aptos" w:cs="Arial"/>
                <w:color w:val="002060"/>
              </w:rPr>
              <w:t xml:space="preserve">he National Nursing Workforce Strategy, please </w:t>
            </w:r>
            <w:r>
              <w:rPr>
                <w:rFonts w:ascii="Aptos" w:hAnsi="Aptos" w:cs="Arial"/>
                <w:color w:val="002060"/>
              </w:rPr>
              <w:t xml:space="preserve">contact </w:t>
            </w:r>
            <w:hyperlink r:id="rId18" w:history="1">
              <w:r w:rsidRPr="00721723">
                <w:rPr>
                  <w:rStyle w:val="Hyperlink"/>
                  <w:rFonts w:ascii="Aptos" w:hAnsi="Aptos" w:cs="Arial"/>
                </w:rPr>
                <w:t>NNWS@health.gov.au</w:t>
              </w:r>
            </w:hyperlink>
            <w:r w:rsidRPr="00721723">
              <w:rPr>
                <w:rFonts w:ascii="Aptos" w:hAnsi="Aptos" w:cs="Arial"/>
                <w:color w:val="002060"/>
              </w:rPr>
              <w:t xml:space="preserve"> </w:t>
            </w:r>
          </w:p>
          <w:p w14:paraId="105C10AC" w14:textId="77777777" w:rsidR="006D2638" w:rsidRPr="006A5545" w:rsidRDefault="006D2638" w:rsidP="006D2638">
            <w:pPr>
              <w:ind w:right="-957"/>
              <w:rPr>
                <w:rFonts w:ascii="Aptos" w:hAnsi="Aptos" w:cs="Arial"/>
                <w:b/>
                <w:color w:val="002060"/>
                <w:sz w:val="18"/>
                <w:szCs w:val="18"/>
              </w:rPr>
            </w:pPr>
          </w:p>
        </w:tc>
      </w:tr>
      <w:tr w:rsidR="00E16A10" w:rsidRPr="00C15C28" w14:paraId="746DF1CB" w14:textId="77777777" w:rsidTr="00A96242">
        <w:trPr>
          <w:trHeight w:val="10214"/>
        </w:trPr>
        <w:tc>
          <w:tcPr>
            <w:tcW w:w="11335"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5207F57" w14:textId="77777777" w:rsidR="00E1550D" w:rsidRPr="00E1550D" w:rsidRDefault="00E1550D" w:rsidP="0045240F">
            <w:pPr>
              <w:rPr>
                <w:rFonts w:ascii="Aptos" w:hAnsi="Aptos" w:cs="Arial"/>
                <w:color w:val="002060"/>
                <w:sz w:val="18"/>
                <w:szCs w:val="18"/>
              </w:rPr>
            </w:pPr>
          </w:p>
          <w:p w14:paraId="36658C05" w14:textId="15DDB2C9" w:rsidR="00E16A10" w:rsidRPr="006C0F7C" w:rsidRDefault="003D28FB" w:rsidP="0045240F">
            <w:pPr>
              <w:rPr>
                <w:rFonts w:ascii="Aptos" w:hAnsi="Aptos" w:cs="Arial"/>
                <w:color w:val="002060"/>
                <w:sz w:val="36"/>
                <w:szCs w:val="24"/>
              </w:rPr>
            </w:pPr>
            <w:r w:rsidRPr="004334CF">
              <w:rPr>
                <w:rFonts w:ascii="Aptos" w:hAnsi="Aptos" w:cs="Arial"/>
                <w:b/>
                <w:bCs/>
                <w:noProof/>
                <w:sz w:val="24"/>
                <w:szCs w:val="24"/>
                <w:lang w:eastAsia="en-AU"/>
              </w:rPr>
              <w:drawing>
                <wp:anchor distT="0" distB="0" distL="114300" distR="114300" simplePos="0" relativeHeight="251670528" behindDoc="0" locked="0" layoutInCell="1" allowOverlap="1" wp14:anchorId="38E1F6DA" wp14:editId="79A51FEC">
                  <wp:simplePos x="0" y="0"/>
                  <wp:positionH relativeFrom="column">
                    <wp:posOffset>-1270</wp:posOffset>
                  </wp:positionH>
                  <wp:positionV relativeFrom="paragraph">
                    <wp:posOffset>116840</wp:posOffset>
                  </wp:positionV>
                  <wp:extent cx="1028700" cy="1028700"/>
                  <wp:effectExtent l="0" t="0" r="0" b="0"/>
                  <wp:wrapSquare wrapText="bothSides"/>
                  <wp:docPr id="1612610628" name="Picture 1612610628" descr="Title: Clipboard graphic - Description: The graphic is of a brown clip board with a white piece of paper and a pencil. On the paper is a list with 3 boxes with lines next to each box. The top box has a green tick in it, the middle box has a red cross in it and the bottom box is empty but the pencil is about to write i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tle: Clipboard graphic - Description: The graphic is of a brown clip board with a white piece of paper and a pencil. On the paper is a list with 3 boxes with lines next to each box. The top box has a green tick in it, the middle box has a red cross in it and the bottom box is empty but the pencil is about to write in it."/>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6A10">
              <w:rPr>
                <w:rFonts w:ascii="Aptos" w:hAnsi="Aptos" w:cs="Arial"/>
                <w:color w:val="002060"/>
                <w:sz w:val="36"/>
                <w:szCs w:val="24"/>
              </w:rPr>
              <w:t xml:space="preserve">Exceptional Cases – provision of services </w:t>
            </w:r>
          </w:p>
          <w:p w14:paraId="70B97BF2" w14:textId="67CAB3BE" w:rsidR="00E16A10" w:rsidRPr="00AB525C" w:rsidRDefault="00E16A10" w:rsidP="0045240F">
            <w:pPr>
              <w:rPr>
                <w:rFonts w:ascii="Aptos" w:hAnsi="Aptos"/>
                <w:color w:val="002060"/>
                <w:sz w:val="24"/>
                <w:szCs w:val="24"/>
              </w:rPr>
            </w:pPr>
            <w:r w:rsidRPr="00B659B2">
              <w:rPr>
                <w:rFonts w:ascii="Aptos" w:hAnsi="Aptos"/>
                <w:color w:val="002060"/>
                <w:sz w:val="24"/>
                <w:szCs w:val="24"/>
              </w:rPr>
              <w:t xml:space="preserve">Where a client requires care that is outside the Community Nursing </w:t>
            </w:r>
            <w:hyperlink r:id="rId21" w:history="1">
              <w:r w:rsidRPr="00B659B2">
                <w:rPr>
                  <w:rStyle w:val="Hyperlink"/>
                  <w:rFonts w:ascii="Aptos" w:hAnsi="Aptos"/>
                  <w:color w:val="002060"/>
                  <w:sz w:val="24"/>
                  <w:szCs w:val="24"/>
                </w:rPr>
                <w:t>Schedule of Fees</w:t>
              </w:r>
            </w:hyperlink>
            <w:r w:rsidRPr="00B659B2">
              <w:rPr>
                <w:rFonts w:ascii="Aptos" w:hAnsi="Aptos"/>
                <w:color w:val="002060"/>
                <w:sz w:val="24"/>
                <w:szCs w:val="24"/>
              </w:rPr>
              <w:t xml:space="preserve">, approval must be sought from DVA through the </w:t>
            </w:r>
            <w:hyperlink r:id="rId22" w:history="1">
              <w:r w:rsidRPr="00B659B2">
                <w:rPr>
                  <w:rStyle w:val="Hyperlink"/>
                  <w:rFonts w:ascii="Aptos" w:hAnsi="Aptos"/>
                  <w:color w:val="002060"/>
                  <w:sz w:val="24"/>
                  <w:szCs w:val="24"/>
                </w:rPr>
                <w:t>Exceptional Case (EC) process</w:t>
              </w:r>
            </w:hyperlink>
            <w:r w:rsidRPr="00B659B2">
              <w:rPr>
                <w:rFonts w:ascii="Aptos" w:hAnsi="Aptos"/>
                <w:color w:val="002060"/>
                <w:sz w:val="24"/>
                <w:szCs w:val="24"/>
              </w:rPr>
              <w:t xml:space="preserve"> and</w:t>
            </w:r>
            <w:r w:rsidR="00820687" w:rsidRPr="00B659B2">
              <w:rPr>
                <w:rFonts w:ascii="Aptos" w:hAnsi="Aptos"/>
                <w:color w:val="002060"/>
                <w:sz w:val="24"/>
                <w:szCs w:val="24"/>
              </w:rPr>
              <w:t xml:space="preserve"> prior</w:t>
            </w:r>
            <w:r w:rsidRPr="00B659B2">
              <w:rPr>
                <w:rFonts w:ascii="Aptos" w:hAnsi="Aptos"/>
                <w:color w:val="002060"/>
                <w:sz w:val="24"/>
                <w:szCs w:val="24"/>
              </w:rPr>
              <w:t xml:space="preserve"> approval given for the care </w:t>
            </w:r>
            <w:r w:rsidR="00820687" w:rsidRPr="00B659B2">
              <w:rPr>
                <w:rFonts w:ascii="Aptos" w:hAnsi="Aptos"/>
                <w:color w:val="002060"/>
                <w:sz w:val="24"/>
                <w:szCs w:val="24"/>
              </w:rPr>
              <w:t>to</w:t>
            </w:r>
            <w:r w:rsidRPr="00B659B2">
              <w:rPr>
                <w:rFonts w:ascii="Aptos" w:hAnsi="Aptos"/>
                <w:color w:val="002060"/>
                <w:sz w:val="24"/>
                <w:szCs w:val="24"/>
              </w:rPr>
              <w:t xml:space="preserve"> be funded.</w:t>
            </w:r>
          </w:p>
          <w:p w14:paraId="16D4F4D8" w14:textId="77777777" w:rsidR="00E16A10" w:rsidRDefault="00E16A10" w:rsidP="0045240F">
            <w:pPr>
              <w:rPr>
                <w:rFonts w:ascii="Aptos" w:hAnsi="Aptos"/>
                <w:color w:val="002060"/>
                <w:sz w:val="24"/>
                <w:szCs w:val="24"/>
              </w:rPr>
            </w:pPr>
          </w:p>
          <w:p w14:paraId="02C1B4C0" w14:textId="7FF78C57" w:rsidR="00E16A10" w:rsidRPr="00AB525C" w:rsidRDefault="00E16A10" w:rsidP="0045240F">
            <w:pPr>
              <w:rPr>
                <w:rStyle w:val="Hyperlink"/>
                <w:rFonts w:ascii="Aptos" w:hAnsi="Aptos"/>
                <w:color w:val="002060"/>
                <w:sz w:val="24"/>
                <w:szCs w:val="24"/>
                <w:u w:val="none"/>
              </w:rPr>
            </w:pPr>
            <w:r w:rsidRPr="00AB525C">
              <w:rPr>
                <w:rFonts w:ascii="Aptos" w:hAnsi="Aptos"/>
                <w:color w:val="002060"/>
                <w:sz w:val="24"/>
                <w:szCs w:val="24"/>
              </w:rPr>
              <w:t>Where an EC application has been submitted, services to the client should continue within the limits of the Community Nursing </w:t>
            </w:r>
            <w:hyperlink r:id="rId23" w:history="1">
              <w:r w:rsidRPr="00AB525C">
                <w:rPr>
                  <w:rStyle w:val="Hyperlink"/>
                  <w:rFonts w:ascii="Aptos" w:hAnsi="Aptos"/>
                  <w:color w:val="002060"/>
                  <w:sz w:val="24"/>
                  <w:szCs w:val="24"/>
                </w:rPr>
                <w:t>Schedule of Fees</w:t>
              </w:r>
            </w:hyperlink>
            <w:r w:rsidRPr="00AB525C">
              <w:rPr>
                <w:rFonts w:ascii="Aptos" w:hAnsi="Aptos"/>
                <w:color w:val="002060"/>
                <w:sz w:val="24"/>
                <w:szCs w:val="24"/>
              </w:rPr>
              <w:t>. If services are not yet in place, DVA recommend that appropriate services should commence in line with the Community Nursing </w:t>
            </w:r>
            <w:hyperlink r:id="rId24" w:history="1">
              <w:r w:rsidRPr="00AB525C">
                <w:rPr>
                  <w:rStyle w:val="Hyperlink"/>
                  <w:rFonts w:ascii="Aptos" w:hAnsi="Aptos"/>
                  <w:color w:val="002060"/>
                  <w:sz w:val="24"/>
                  <w:szCs w:val="24"/>
                </w:rPr>
                <w:t>Schedule of Fees</w:t>
              </w:r>
            </w:hyperlink>
            <w:r w:rsidRPr="00AB525C">
              <w:rPr>
                <w:rStyle w:val="Hyperlink"/>
                <w:rFonts w:ascii="Aptos" w:hAnsi="Aptos"/>
                <w:color w:val="002060"/>
                <w:sz w:val="24"/>
                <w:szCs w:val="24"/>
              </w:rPr>
              <w:t>.</w:t>
            </w:r>
          </w:p>
          <w:p w14:paraId="5C3FD8A7" w14:textId="77777777" w:rsidR="00E16A10" w:rsidRPr="00AB525C" w:rsidRDefault="00E16A10" w:rsidP="0045240F">
            <w:pPr>
              <w:rPr>
                <w:rFonts w:ascii="Aptos" w:hAnsi="Aptos"/>
                <w:color w:val="002060"/>
                <w:sz w:val="24"/>
                <w:szCs w:val="24"/>
              </w:rPr>
            </w:pPr>
          </w:p>
          <w:p w14:paraId="186773A3" w14:textId="56CFE19C" w:rsidR="00E16A10" w:rsidRPr="00AB525C" w:rsidRDefault="00E16A10" w:rsidP="0045240F">
            <w:pPr>
              <w:rPr>
                <w:rStyle w:val="Hyperlink"/>
                <w:rFonts w:ascii="Aptos" w:hAnsi="Aptos"/>
                <w:color w:val="002060"/>
                <w:sz w:val="24"/>
                <w:szCs w:val="24"/>
                <w:u w:val="none"/>
              </w:rPr>
            </w:pPr>
            <w:r w:rsidRPr="00AB525C">
              <w:rPr>
                <w:rFonts w:ascii="Aptos" w:hAnsi="Aptos"/>
                <w:color w:val="002060"/>
                <w:sz w:val="24"/>
                <w:szCs w:val="24"/>
              </w:rPr>
              <w:t>To ensure clients are not without community nursing services while an EC application is being determined, current s</w:t>
            </w:r>
            <w:r w:rsidRPr="00AB525C">
              <w:rPr>
                <w:rStyle w:val="Hyperlink"/>
                <w:rFonts w:ascii="Aptos" w:hAnsi="Aptos"/>
                <w:color w:val="002060"/>
                <w:sz w:val="24"/>
                <w:szCs w:val="24"/>
                <w:u w:val="none"/>
              </w:rPr>
              <w:t>ervices should continue while awaiting the outcome.</w:t>
            </w:r>
          </w:p>
          <w:p w14:paraId="53CBED16" w14:textId="77777777" w:rsidR="00E16A10" w:rsidRPr="00AB525C" w:rsidRDefault="00E16A10" w:rsidP="0045240F">
            <w:pPr>
              <w:rPr>
                <w:rFonts w:ascii="Aptos" w:hAnsi="Aptos"/>
                <w:color w:val="002060"/>
                <w:sz w:val="24"/>
                <w:szCs w:val="24"/>
              </w:rPr>
            </w:pPr>
            <w:r w:rsidRPr="00AB525C">
              <w:rPr>
                <w:rFonts w:ascii="Aptos" w:hAnsi="Aptos"/>
                <w:color w:val="002060"/>
                <w:sz w:val="24"/>
                <w:szCs w:val="24"/>
              </w:rPr>
              <w:t xml:space="preserve"> </w:t>
            </w:r>
          </w:p>
          <w:p w14:paraId="515339A9" w14:textId="77777777" w:rsidR="00E16A10" w:rsidRPr="00AB525C" w:rsidRDefault="00E16A10" w:rsidP="0045240F">
            <w:pPr>
              <w:rPr>
                <w:rFonts w:ascii="Aptos" w:hAnsi="Aptos"/>
                <w:b/>
                <w:bCs/>
                <w:i/>
                <w:iCs/>
                <w:color w:val="002060"/>
                <w:sz w:val="24"/>
                <w:szCs w:val="24"/>
                <w:u w:val="single"/>
              </w:rPr>
            </w:pPr>
            <w:r w:rsidRPr="00AB525C">
              <w:rPr>
                <w:rFonts w:ascii="Aptos" w:hAnsi="Aptos"/>
                <w:b/>
                <w:bCs/>
                <w:i/>
                <w:iCs/>
                <w:color w:val="002060"/>
                <w:sz w:val="24"/>
                <w:szCs w:val="24"/>
              </w:rPr>
              <w:t>If Community Nursing providers are unable to continue or commence services immediately, they must inform DVA as soon as possible.</w:t>
            </w:r>
          </w:p>
          <w:p w14:paraId="00D7EBFA" w14:textId="77777777" w:rsidR="00E16A10" w:rsidRPr="00AB525C" w:rsidRDefault="00E16A10" w:rsidP="0045240F">
            <w:pPr>
              <w:rPr>
                <w:rFonts w:ascii="Aptos" w:hAnsi="Aptos"/>
                <w:b/>
                <w:bCs/>
                <w:color w:val="002060"/>
                <w:sz w:val="24"/>
                <w:szCs w:val="24"/>
              </w:rPr>
            </w:pPr>
          </w:p>
          <w:p w14:paraId="768498A7" w14:textId="77777777" w:rsidR="00E16A10" w:rsidRPr="00AB525C" w:rsidRDefault="00E16A10" w:rsidP="0045240F">
            <w:pPr>
              <w:rPr>
                <w:rFonts w:ascii="Aptos" w:hAnsi="Aptos"/>
                <w:b/>
                <w:bCs/>
                <w:color w:val="002060"/>
                <w:sz w:val="24"/>
                <w:szCs w:val="24"/>
              </w:rPr>
            </w:pPr>
            <w:r w:rsidRPr="00AB525C">
              <w:rPr>
                <w:rFonts w:ascii="Aptos" w:hAnsi="Aptos"/>
                <w:b/>
                <w:bCs/>
                <w:color w:val="002060"/>
                <w:sz w:val="24"/>
                <w:szCs w:val="24"/>
              </w:rPr>
              <w:t>Urgent circumstances</w:t>
            </w:r>
          </w:p>
          <w:p w14:paraId="57E13FC5" w14:textId="000F0F31" w:rsidR="00E16A10" w:rsidRPr="00AB525C" w:rsidRDefault="00E16A10" w:rsidP="0045240F">
            <w:pPr>
              <w:rPr>
                <w:rFonts w:ascii="Aptos" w:hAnsi="Aptos"/>
                <w:color w:val="002060"/>
                <w:sz w:val="24"/>
                <w:szCs w:val="24"/>
              </w:rPr>
            </w:pPr>
            <w:r w:rsidRPr="00AB525C">
              <w:rPr>
                <w:rFonts w:ascii="Aptos" w:hAnsi="Aptos"/>
                <w:color w:val="002060"/>
                <w:sz w:val="24"/>
                <w:szCs w:val="24"/>
              </w:rPr>
              <w:t xml:space="preserve">Where </w:t>
            </w:r>
            <w:r w:rsidRPr="00AB525C">
              <w:rPr>
                <w:rFonts w:ascii="Aptos" w:hAnsi="Aptos"/>
                <w:b/>
                <w:bCs/>
                <w:color w:val="002060"/>
                <w:sz w:val="24"/>
                <w:szCs w:val="24"/>
              </w:rPr>
              <w:t>urgent</w:t>
            </w:r>
            <w:r w:rsidRPr="00AB525C">
              <w:rPr>
                <w:rFonts w:ascii="Aptos" w:hAnsi="Aptos"/>
                <w:color w:val="002060"/>
                <w:sz w:val="24"/>
                <w:szCs w:val="24"/>
              </w:rPr>
              <w:t xml:space="preserve"> circumstances apply, such as end of life palliative care, Community Nursing providers can request urgent interim approval prior to submitting an EC application.</w:t>
            </w:r>
          </w:p>
          <w:p w14:paraId="77584CBE" w14:textId="77777777" w:rsidR="00E16A10" w:rsidRPr="00AB525C" w:rsidRDefault="00E16A10" w:rsidP="0045240F">
            <w:pPr>
              <w:rPr>
                <w:rFonts w:ascii="Aptos" w:hAnsi="Aptos"/>
                <w:color w:val="002060"/>
                <w:sz w:val="24"/>
                <w:szCs w:val="24"/>
              </w:rPr>
            </w:pPr>
          </w:p>
          <w:p w14:paraId="11850F9C" w14:textId="70623A59" w:rsidR="00E16A10" w:rsidRPr="00AB525C" w:rsidRDefault="00E16A10" w:rsidP="0045240F">
            <w:pPr>
              <w:rPr>
                <w:rFonts w:ascii="Aptos" w:hAnsi="Aptos"/>
                <w:color w:val="002060"/>
                <w:sz w:val="24"/>
                <w:szCs w:val="24"/>
              </w:rPr>
            </w:pPr>
            <w:r w:rsidRPr="00AB525C">
              <w:rPr>
                <w:rFonts w:ascii="Aptos" w:hAnsi="Aptos"/>
                <w:color w:val="002060"/>
                <w:sz w:val="24"/>
                <w:szCs w:val="24"/>
              </w:rPr>
              <w:t>A one-off interim approval can be granted where urgent circumstances arise, and the client requires care outside of the Schedule of Fees. In these situations, a C</w:t>
            </w:r>
            <w:r w:rsidR="00217403">
              <w:rPr>
                <w:rFonts w:ascii="Aptos" w:hAnsi="Aptos"/>
                <w:color w:val="002060"/>
                <w:sz w:val="24"/>
                <w:szCs w:val="24"/>
              </w:rPr>
              <w:t xml:space="preserve">ommunity </w:t>
            </w:r>
            <w:r w:rsidRPr="00AB525C">
              <w:rPr>
                <w:rFonts w:ascii="Aptos" w:hAnsi="Aptos"/>
                <w:color w:val="002060"/>
                <w:sz w:val="24"/>
                <w:szCs w:val="24"/>
              </w:rPr>
              <w:t>N</w:t>
            </w:r>
            <w:r w:rsidR="00217403">
              <w:rPr>
                <w:rFonts w:ascii="Aptos" w:hAnsi="Aptos"/>
                <w:color w:val="002060"/>
                <w:sz w:val="24"/>
                <w:szCs w:val="24"/>
              </w:rPr>
              <w:t>ursing</w:t>
            </w:r>
            <w:r w:rsidRPr="00AB525C">
              <w:rPr>
                <w:rFonts w:ascii="Aptos" w:hAnsi="Aptos"/>
                <w:color w:val="002060"/>
                <w:sz w:val="24"/>
                <w:szCs w:val="24"/>
              </w:rPr>
              <w:t xml:space="preserve"> provider can email the </w:t>
            </w:r>
            <w:hyperlink r:id="rId25" w:history="1">
              <w:r w:rsidRPr="00217403">
                <w:rPr>
                  <w:rStyle w:val="Hyperlink"/>
                  <w:rFonts w:ascii="Aptos" w:hAnsi="Aptos"/>
                  <w:sz w:val="24"/>
                  <w:szCs w:val="24"/>
                </w:rPr>
                <w:t>Exceptional Cases</w:t>
              </w:r>
            </w:hyperlink>
            <w:r w:rsidRPr="00AB525C">
              <w:rPr>
                <w:rFonts w:ascii="Aptos" w:hAnsi="Aptos"/>
                <w:color w:val="002060"/>
                <w:sz w:val="24"/>
                <w:szCs w:val="24"/>
              </w:rPr>
              <w:t xml:space="preserve"> mailbox and must provide the following details: </w:t>
            </w:r>
          </w:p>
          <w:p w14:paraId="38B48D71" w14:textId="77777777" w:rsidR="00E16A10" w:rsidRPr="00AB525C" w:rsidRDefault="00E16A10" w:rsidP="0045240F">
            <w:pPr>
              <w:pStyle w:val="ListParagraph"/>
              <w:numPr>
                <w:ilvl w:val="0"/>
                <w:numId w:val="5"/>
              </w:numPr>
              <w:rPr>
                <w:rFonts w:ascii="Aptos" w:hAnsi="Aptos"/>
                <w:color w:val="002060"/>
                <w:sz w:val="24"/>
                <w:szCs w:val="24"/>
              </w:rPr>
            </w:pPr>
            <w:r w:rsidRPr="00AB525C">
              <w:rPr>
                <w:rFonts w:ascii="Aptos" w:hAnsi="Aptos"/>
                <w:color w:val="002060"/>
                <w:sz w:val="24"/>
                <w:szCs w:val="24"/>
              </w:rPr>
              <w:t>Number of visits required per day including length (minutes), type (clinical or personal), number of staff and personnel type per visit</w:t>
            </w:r>
          </w:p>
          <w:p w14:paraId="01A3039E" w14:textId="77777777" w:rsidR="00E16A10" w:rsidRPr="00AB525C" w:rsidRDefault="00E16A10" w:rsidP="0045240F">
            <w:pPr>
              <w:pStyle w:val="ListParagraph"/>
              <w:numPr>
                <w:ilvl w:val="0"/>
                <w:numId w:val="5"/>
              </w:numPr>
              <w:rPr>
                <w:rFonts w:ascii="Aptos" w:hAnsi="Aptos"/>
                <w:color w:val="002060"/>
                <w:sz w:val="24"/>
                <w:szCs w:val="24"/>
              </w:rPr>
            </w:pPr>
            <w:r w:rsidRPr="00AB525C">
              <w:rPr>
                <w:rFonts w:ascii="Aptos" w:hAnsi="Aptos"/>
                <w:color w:val="002060"/>
                <w:sz w:val="24"/>
                <w:szCs w:val="24"/>
              </w:rPr>
              <w:t>Palliative Care assessment detailing the phase of palliation (if applicable)</w:t>
            </w:r>
          </w:p>
          <w:p w14:paraId="65CE7686" w14:textId="56AC0849" w:rsidR="00E16A10" w:rsidRPr="00AB525C" w:rsidRDefault="00E16A10" w:rsidP="0045240F">
            <w:pPr>
              <w:pStyle w:val="ListParagraph"/>
              <w:numPr>
                <w:ilvl w:val="0"/>
                <w:numId w:val="5"/>
              </w:numPr>
              <w:rPr>
                <w:rFonts w:ascii="Aptos" w:hAnsi="Aptos"/>
                <w:color w:val="002060"/>
                <w:sz w:val="24"/>
                <w:szCs w:val="24"/>
              </w:rPr>
            </w:pPr>
            <w:r w:rsidRPr="00AB525C">
              <w:rPr>
                <w:rFonts w:ascii="Aptos" w:hAnsi="Aptos"/>
                <w:color w:val="002060"/>
                <w:sz w:val="24"/>
                <w:szCs w:val="24"/>
              </w:rPr>
              <w:t>Medication authority and/or list of medications (if to be administered by the C</w:t>
            </w:r>
            <w:r w:rsidR="00217403">
              <w:rPr>
                <w:rFonts w:ascii="Aptos" w:hAnsi="Aptos"/>
                <w:color w:val="002060"/>
                <w:sz w:val="24"/>
                <w:szCs w:val="24"/>
              </w:rPr>
              <w:t xml:space="preserve">ommunity </w:t>
            </w:r>
            <w:r w:rsidRPr="00AB525C">
              <w:rPr>
                <w:rFonts w:ascii="Aptos" w:hAnsi="Aptos"/>
                <w:color w:val="002060"/>
                <w:sz w:val="24"/>
                <w:szCs w:val="24"/>
              </w:rPr>
              <w:t>N</w:t>
            </w:r>
            <w:r w:rsidR="00217403">
              <w:rPr>
                <w:rFonts w:ascii="Aptos" w:hAnsi="Aptos"/>
                <w:color w:val="002060"/>
                <w:sz w:val="24"/>
                <w:szCs w:val="24"/>
              </w:rPr>
              <w:t>ursing</w:t>
            </w:r>
            <w:r w:rsidRPr="00AB525C">
              <w:rPr>
                <w:rFonts w:ascii="Aptos" w:hAnsi="Aptos"/>
                <w:color w:val="002060"/>
                <w:sz w:val="24"/>
                <w:szCs w:val="24"/>
              </w:rPr>
              <w:t xml:space="preserve"> provider)</w:t>
            </w:r>
          </w:p>
          <w:p w14:paraId="3CA5E060" w14:textId="3C706832" w:rsidR="00E16A10" w:rsidRPr="00AB525C" w:rsidRDefault="00E16A10" w:rsidP="0045240F">
            <w:pPr>
              <w:pStyle w:val="ListParagraph"/>
              <w:numPr>
                <w:ilvl w:val="0"/>
                <w:numId w:val="5"/>
              </w:numPr>
              <w:rPr>
                <w:rFonts w:ascii="Aptos" w:hAnsi="Aptos"/>
                <w:color w:val="002060"/>
                <w:sz w:val="24"/>
                <w:szCs w:val="24"/>
              </w:rPr>
            </w:pPr>
            <w:r w:rsidRPr="00AB525C">
              <w:rPr>
                <w:rFonts w:ascii="Aptos" w:hAnsi="Aptos"/>
                <w:color w:val="002060"/>
                <w:sz w:val="24"/>
                <w:szCs w:val="24"/>
              </w:rPr>
              <w:t>Hospital discharge summary where relevant</w:t>
            </w:r>
            <w:r w:rsidR="00217403">
              <w:rPr>
                <w:rFonts w:ascii="Aptos" w:hAnsi="Aptos"/>
                <w:color w:val="002060"/>
                <w:sz w:val="24"/>
                <w:szCs w:val="24"/>
              </w:rPr>
              <w:t>.</w:t>
            </w:r>
          </w:p>
          <w:p w14:paraId="429DA52E" w14:textId="77777777" w:rsidR="00E16A10" w:rsidRPr="00217403" w:rsidRDefault="00E16A10" w:rsidP="00217403">
            <w:pPr>
              <w:rPr>
                <w:rFonts w:ascii="Aptos" w:hAnsi="Aptos"/>
                <w:color w:val="002060"/>
                <w:sz w:val="24"/>
                <w:szCs w:val="24"/>
              </w:rPr>
            </w:pPr>
          </w:p>
          <w:p w14:paraId="34D6BB8A" w14:textId="77777777" w:rsidR="00E16A10" w:rsidRPr="00AB525C" w:rsidRDefault="00E16A10" w:rsidP="0045240F">
            <w:pPr>
              <w:rPr>
                <w:rFonts w:ascii="Aptos" w:hAnsi="Aptos"/>
                <w:color w:val="002060"/>
                <w:sz w:val="24"/>
                <w:szCs w:val="24"/>
              </w:rPr>
            </w:pPr>
            <w:r w:rsidRPr="00AB525C">
              <w:rPr>
                <w:rFonts w:ascii="Aptos" w:hAnsi="Aptos"/>
                <w:color w:val="002060"/>
                <w:sz w:val="24"/>
                <w:szCs w:val="24"/>
              </w:rPr>
              <w:t>Where urgent interim approval is granted, the provider is required to submit an Exceptional Case application within </w:t>
            </w:r>
            <w:r w:rsidRPr="00AB525C">
              <w:rPr>
                <w:rFonts w:ascii="Aptos" w:hAnsi="Aptos"/>
                <w:color w:val="002060"/>
                <w:sz w:val="24"/>
                <w:szCs w:val="24"/>
                <w:u w:val="single"/>
              </w:rPr>
              <w:t>2 business days</w:t>
            </w:r>
            <w:r w:rsidRPr="00AB525C">
              <w:rPr>
                <w:rFonts w:ascii="Aptos" w:hAnsi="Aptos"/>
                <w:color w:val="002060"/>
                <w:sz w:val="24"/>
                <w:szCs w:val="24"/>
              </w:rPr>
              <w:t> to enable processing within the interim period.</w:t>
            </w:r>
          </w:p>
          <w:p w14:paraId="2CE57134" w14:textId="77777777" w:rsidR="00E16A10" w:rsidRPr="00AB525C" w:rsidRDefault="00E16A10" w:rsidP="0045240F">
            <w:pPr>
              <w:rPr>
                <w:rFonts w:ascii="Aptos" w:hAnsi="Aptos"/>
                <w:color w:val="002060"/>
                <w:sz w:val="24"/>
                <w:szCs w:val="24"/>
              </w:rPr>
            </w:pPr>
          </w:p>
          <w:p w14:paraId="7934AA15" w14:textId="5CC68565" w:rsidR="00E16A10" w:rsidRPr="004334CF" w:rsidRDefault="00E16A10" w:rsidP="0045240F">
            <w:pPr>
              <w:rPr>
                <w:rFonts w:ascii="Aptos" w:hAnsi="Aptos" w:cs="Arial"/>
                <w:color w:val="002060"/>
                <w:sz w:val="24"/>
                <w:szCs w:val="24"/>
              </w:rPr>
            </w:pPr>
            <w:r w:rsidRPr="00AB525C">
              <w:rPr>
                <w:rFonts w:ascii="Aptos" w:hAnsi="Aptos"/>
                <w:color w:val="002060"/>
                <w:sz w:val="24"/>
                <w:szCs w:val="24"/>
              </w:rPr>
              <w:t xml:space="preserve">Further information can be found in Attachment A of the </w:t>
            </w:r>
            <w:hyperlink r:id="rId26" w:history="1">
              <w:r w:rsidRPr="001915E8">
                <w:rPr>
                  <w:rStyle w:val="Hyperlink"/>
                  <w:rFonts w:ascii="Aptos" w:hAnsi="Aptos"/>
                  <w:color w:val="002060"/>
                  <w:sz w:val="24"/>
                  <w:szCs w:val="24"/>
                </w:rPr>
                <w:t>Notes for Community Nursing Providers</w:t>
              </w:r>
            </w:hyperlink>
            <w:r w:rsidRPr="001915E8">
              <w:rPr>
                <w:rFonts w:ascii="Aptos" w:hAnsi="Aptos"/>
                <w:color w:val="002060"/>
                <w:sz w:val="24"/>
                <w:szCs w:val="24"/>
              </w:rPr>
              <w:t>.</w:t>
            </w:r>
          </w:p>
        </w:tc>
      </w:tr>
      <w:tr w:rsidR="00AB525C" w:rsidRPr="00C15C28" w14:paraId="346423A2" w14:textId="77777777" w:rsidTr="00A96242">
        <w:trPr>
          <w:trHeight w:val="2818"/>
        </w:trPr>
        <w:tc>
          <w:tcPr>
            <w:tcW w:w="9213" w:type="dxa"/>
            <w:tcBorders>
              <w:top w:val="single" w:sz="4" w:space="0" w:color="auto"/>
              <w:left w:val="single" w:sz="4" w:space="0" w:color="auto"/>
              <w:bottom w:val="single" w:sz="4" w:space="0" w:color="auto"/>
              <w:right w:val="nil"/>
            </w:tcBorders>
            <w:shd w:val="clear" w:color="auto" w:fill="D0CECE" w:themeFill="background2" w:themeFillShade="E6"/>
          </w:tcPr>
          <w:p w14:paraId="38455376" w14:textId="77777777" w:rsidR="006A4266" w:rsidRPr="00BF6048" w:rsidRDefault="006A4266" w:rsidP="006A4266">
            <w:pPr>
              <w:jc w:val="both"/>
              <w:rPr>
                <w:rFonts w:ascii="Aptos" w:hAnsi="Aptos" w:cs="Arial"/>
                <w:color w:val="002060"/>
                <w:sz w:val="18"/>
                <w:szCs w:val="18"/>
              </w:rPr>
            </w:pPr>
          </w:p>
          <w:p w14:paraId="644417B2" w14:textId="5DDB11C3" w:rsidR="00AB525C" w:rsidRPr="004334CF" w:rsidRDefault="00AB525C" w:rsidP="006A4266">
            <w:pPr>
              <w:jc w:val="both"/>
              <w:rPr>
                <w:rFonts w:ascii="Aptos" w:hAnsi="Aptos" w:cs="Arial"/>
                <w:color w:val="002060"/>
                <w:sz w:val="36"/>
                <w:szCs w:val="36"/>
              </w:rPr>
            </w:pPr>
            <w:r>
              <w:rPr>
                <w:rFonts w:ascii="Aptos" w:hAnsi="Aptos" w:cs="Arial"/>
                <w:color w:val="002060"/>
                <w:sz w:val="36"/>
                <w:szCs w:val="36"/>
              </w:rPr>
              <w:t>Primary Health Care Training Program</w:t>
            </w:r>
          </w:p>
          <w:p w14:paraId="00CD8123" w14:textId="690F6B7D" w:rsidR="00AB525C" w:rsidRDefault="00AB525C" w:rsidP="0045240F">
            <w:pPr>
              <w:pStyle w:val="ListParagraph"/>
              <w:ind w:left="0"/>
              <w:rPr>
                <w:rFonts w:ascii="Aptos" w:hAnsi="Aptos" w:cs="Arial"/>
                <w:color w:val="002060"/>
                <w:sz w:val="24"/>
                <w:szCs w:val="24"/>
              </w:rPr>
            </w:pPr>
            <w:r w:rsidRPr="003029CF">
              <w:rPr>
                <w:rFonts w:ascii="Aptos" w:hAnsi="Aptos" w:cs="Arial"/>
                <w:color w:val="002060"/>
                <w:sz w:val="24"/>
                <w:szCs w:val="24"/>
              </w:rPr>
              <w:t xml:space="preserve">DVA </w:t>
            </w:r>
            <w:r>
              <w:rPr>
                <w:rFonts w:ascii="Aptos" w:hAnsi="Aptos" w:cs="Arial"/>
                <w:color w:val="002060"/>
                <w:sz w:val="24"/>
                <w:szCs w:val="24"/>
              </w:rPr>
              <w:t>has worked with</w:t>
            </w:r>
            <w:r w:rsidRPr="003029CF">
              <w:rPr>
                <w:rFonts w:ascii="Aptos" w:hAnsi="Aptos" w:cs="Arial"/>
                <w:color w:val="002060"/>
                <w:sz w:val="24"/>
                <w:szCs w:val="24"/>
              </w:rPr>
              <w:t xml:space="preserve"> Medcast to deliver a suite of training for health providers to assist in developing a better understanding o</w:t>
            </w:r>
            <w:r>
              <w:rPr>
                <w:rFonts w:ascii="Aptos" w:hAnsi="Aptos" w:cs="Arial"/>
                <w:color w:val="002060"/>
                <w:sz w:val="24"/>
                <w:szCs w:val="24"/>
              </w:rPr>
              <w:t xml:space="preserve">f Veterans’ healthcare needs and </w:t>
            </w:r>
            <w:r w:rsidRPr="003029CF">
              <w:rPr>
                <w:rFonts w:ascii="Aptos" w:hAnsi="Aptos" w:cs="Arial"/>
                <w:color w:val="002060"/>
                <w:sz w:val="24"/>
                <w:szCs w:val="24"/>
              </w:rPr>
              <w:t xml:space="preserve">the available </w:t>
            </w:r>
            <w:r>
              <w:rPr>
                <w:rFonts w:ascii="Aptos" w:hAnsi="Aptos" w:cs="Arial"/>
                <w:color w:val="002060"/>
                <w:sz w:val="24"/>
                <w:szCs w:val="24"/>
              </w:rPr>
              <w:t xml:space="preserve">supports through </w:t>
            </w:r>
            <w:r w:rsidRPr="003029CF">
              <w:rPr>
                <w:rFonts w:ascii="Aptos" w:hAnsi="Aptos" w:cs="Arial"/>
                <w:color w:val="002060"/>
                <w:sz w:val="24"/>
                <w:szCs w:val="24"/>
              </w:rPr>
              <w:t>DVA</w:t>
            </w:r>
            <w:r>
              <w:rPr>
                <w:rFonts w:ascii="Aptos" w:hAnsi="Aptos" w:cs="Arial"/>
                <w:color w:val="002060"/>
                <w:sz w:val="24"/>
                <w:szCs w:val="24"/>
              </w:rPr>
              <w:t>. In addition to courses and webinars, there are blogs and a resource page, including links to</w:t>
            </w:r>
            <w:r w:rsidRPr="001915E8">
              <w:rPr>
                <w:rFonts w:ascii="Aptos" w:hAnsi="Aptos" w:cs="Arial"/>
                <w:color w:val="1F3864" w:themeColor="accent5" w:themeShade="80"/>
                <w:sz w:val="24"/>
                <w:szCs w:val="24"/>
              </w:rPr>
              <w:t xml:space="preserve"> </w:t>
            </w:r>
            <w:hyperlink r:id="rId27" w:history="1">
              <w:r w:rsidRPr="001915E8">
                <w:rPr>
                  <w:rStyle w:val="Hyperlink"/>
                  <w:rFonts w:ascii="Aptos" w:hAnsi="Aptos" w:cs="Arial"/>
                  <w:color w:val="1F3864" w:themeColor="accent5" w:themeShade="80"/>
                  <w:sz w:val="24"/>
                  <w:szCs w:val="24"/>
                </w:rPr>
                <w:t>DVA Quick Guides</w:t>
              </w:r>
            </w:hyperlink>
            <w:r>
              <w:rPr>
                <w:rFonts w:ascii="Aptos" w:hAnsi="Aptos" w:cs="Arial"/>
                <w:color w:val="002060"/>
                <w:sz w:val="24"/>
                <w:szCs w:val="24"/>
              </w:rPr>
              <w:t>.</w:t>
            </w:r>
          </w:p>
          <w:p w14:paraId="1D128DFF" w14:textId="77777777" w:rsidR="00735526" w:rsidRPr="003029CF" w:rsidRDefault="00735526" w:rsidP="0045240F">
            <w:pPr>
              <w:pStyle w:val="ListParagraph"/>
              <w:ind w:left="0"/>
              <w:rPr>
                <w:rFonts w:ascii="Aptos" w:hAnsi="Aptos" w:cs="Arial"/>
                <w:color w:val="002060"/>
                <w:sz w:val="24"/>
                <w:szCs w:val="24"/>
              </w:rPr>
            </w:pPr>
          </w:p>
          <w:p w14:paraId="1CF9EB5A" w14:textId="77777777" w:rsidR="00AB525C" w:rsidRDefault="00AB525C" w:rsidP="0045240F">
            <w:pPr>
              <w:pStyle w:val="ListParagraph"/>
              <w:ind w:left="0"/>
              <w:rPr>
                <w:rStyle w:val="Hyperlink"/>
                <w:rFonts w:ascii="Aptos" w:hAnsi="Aptos" w:cs="Arial"/>
                <w:sz w:val="24"/>
                <w:szCs w:val="24"/>
              </w:rPr>
            </w:pPr>
            <w:r w:rsidRPr="003029CF">
              <w:rPr>
                <w:rFonts w:ascii="Aptos" w:hAnsi="Aptos" w:cs="Arial"/>
                <w:color w:val="002060"/>
                <w:sz w:val="24"/>
                <w:szCs w:val="24"/>
              </w:rPr>
              <w:t>The modules are freely available to participants at no cost and are accessible from Medcast Learning Hub at</w:t>
            </w:r>
            <w:r w:rsidRPr="001915E8">
              <w:rPr>
                <w:rFonts w:ascii="Aptos" w:hAnsi="Aptos" w:cs="Arial"/>
                <w:color w:val="1F3864" w:themeColor="accent5" w:themeShade="80"/>
                <w:sz w:val="24"/>
                <w:szCs w:val="24"/>
              </w:rPr>
              <w:t xml:space="preserve"> </w:t>
            </w:r>
            <w:hyperlink r:id="rId28" w:history="1">
              <w:r w:rsidRPr="001915E8">
                <w:rPr>
                  <w:rStyle w:val="Hyperlink"/>
                  <w:rFonts w:ascii="Aptos" w:hAnsi="Aptos" w:cs="Arial"/>
                  <w:color w:val="1F3864" w:themeColor="accent5" w:themeShade="80"/>
                  <w:sz w:val="24"/>
                  <w:szCs w:val="24"/>
                </w:rPr>
                <w:t>VETs HeLP: Veterans Healthcare eLearning Platform.</w:t>
              </w:r>
            </w:hyperlink>
          </w:p>
          <w:p w14:paraId="66DFDF13" w14:textId="5D890B41" w:rsidR="00735526" w:rsidRPr="003F7E36" w:rsidRDefault="00735526" w:rsidP="0045240F">
            <w:pPr>
              <w:pStyle w:val="ListParagraph"/>
              <w:ind w:left="0"/>
              <w:rPr>
                <w:rFonts w:ascii="Aptos" w:hAnsi="Aptos" w:cs="Arial"/>
                <w:color w:val="002060"/>
                <w:sz w:val="18"/>
                <w:szCs w:val="18"/>
              </w:rPr>
            </w:pPr>
          </w:p>
        </w:tc>
        <w:tc>
          <w:tcPr>
            <w:tcW w:w="2122"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357DC10F" w14:textId="6D81B0D3" w:rsidR="00AB525C" w:rsidRPr="004334CF" w:rsidRDefault="00BC43E5" w:rsidP="0045240F">
            <w:pPr>
              <w:jc w:val="center"/>
              <w:rPr>
                <w:rFonts w:ascii="Aptos" w:hAnsi="Aptos" w:cs="Arial"/>
                <w:b/>
                <w:color w:val="002060"/>
                <w:sz w:val="24"/>
                <w:szCs w:val="24"/>
              </w:rPr>
            </w:pPr>
            <w:r>
              <w:rPr>
                <w:noProof/>
              </w:rPr>
              <w:drawing>
                <wp:anchor distT="0" distB="0" distL="114300" distR="114300" simplePos="0" relativeHeight="251672576" behindDoc="0" locked="0" layoutInCell="1" allowOverlap="1" wp14:anchorId="00B7C6C3" wp14:editId="2EEA9501">
                  <wp:simplePos x="0" y="0"/>
                  <wp:positionH relativeFrom="column">
                    <wp:posOffset>-76835</wp:posOffset>
                  </wp:positionH>
                  <wp:positionV relativeFrom="paragraph">
                    <wp:posOffset>-1326515</wp:posOffset>
                  </wp:positionV>
                  <wp:extent cx="1163320" cy="1218565"/>
                  <wp:effectExtent l="0" t="0" r="0" b="635"/>
                  <wp:wrapSquare wrapText="bothSides"/>
                  <wp:docPr id="200711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11919" name=""/>
                          <pic:cNvPicPr/>
                        </pic:nvPicPr>
                        <pic:blipFill>
                          <a:blip r:embed="rId29">
                            <a:extLst>
                              <a:ext uri="{28A0092B-C50C-407E-A947-70E740481C1C}">
                                <a14:useLocalDpi xmlns:a14="http://schemas.microsoft.com/office/drawing/2010/main" val="0"/>
                              </a:ext>
                            </a:extLst>
                          </a:blip>
                          <a:stretch>
                            <a:fillRect/>
                          </a:stretch>
                        </pic:blipFill>
                        <pic:spPr>
                          <a:xfrm>
                            <a:off x="0" y="0"/>
                            <a:ext cx="1163320" cy="1218565"/>
                          </a:xfrm>
                          <a:prstGeom prst="rect">
                            <a:avLst/>
                          </a:prstGeom>
                        </pic:spPr>
                      </pic:pic>
                    </a:graphicData>
                  </a:graphic>
                  <wp14:sizeRelH relativeFrom="margin">
                    <wp14:pctWidth>0</wp14:pctWidth>
                  </wp14:sizeRelH>
                  <wp14:sizeRelV relativeFrom="margin">
                    <wp14:pctHeight>0</wp14:pctHeight>
                  </wp14:sizeRelV>
                </wp:anchor>
              </w:drawing>
            </w:r>
          </w:p>
        </w:tc>
      </w:tr>
    </w:tbl>
    <w:p w14:paraId="60D1841C" w14:textId="06A2C452" w:rsidR="00C0740B" w:rsidRDefault="00C0740B"/>
    <w:sectPr w:rsidR="00C0740B" w:rsidSect="00AB525C">
      <w:pgSz w:w="11906" w:h="16838" w:code="9"/>
      <w:pgMar w:top="720" w:right="284" w:bottom="426"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6C340" w14:textId="77777777" w:rsidR="004B56B2" w:rsidRDefault="004B56B2" w:rsidP="004B56B2">
      <w:pPr>
        <w:spacing w:after="0" w:line="240" w:lineRule="auto"/>
      </w:pPr>
      <w:r>
        <w:separator/>
      </w:r>
    </w:p>
  </w:endnote>
  <w:endnote w:type="continuationSeparator" w:id="0">
    <w:p w14:paraId="18ED67A1" w14:textId="77777777" w:rsidR="004B56B2" w:rsidRDefault="004B56B2" w:rsidP="004B5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Soft Light">
    <w:altName w:val="Calibri"/>
    <w:panose1 w:val="00000000000000000000"/>
    <w:charset w:val="00"/>
    <w:family w:val="swiss"/>
    <w:notTrueType/>
    <w:pitch w:val="default"/>
    <w:sig w:usb0="00000003" w:usb1="00000000" w:usb2="00000000" w:usb3="00000000" w:csb0="00000001" w:csb1="00000000"/>
  </w:font>
  <w:font w:name="AusGov DVA Stacked 4U">
    <w:panose1 w:val="020B0603050302020204"/>
    <w:charset w:val="02"/>
    <w:family w:val="swiss"/>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AB559" w14:textId="77777777" w:rsidR="004B56B2" w:rsidRDefault="004B56B2" w:rsidP="004B56B2">
      <w:pPr>
        <w:spacing w:after="0" w:line="240" w:lineRule="auto"/>
      </w:pPr>
      <w:r>
        <w:separator/>
      </w:r>
    </w:p>
  </w:footnote>
  <w:footnote w:type="continuationSeparator" w:id="0">
    <w:p w14:paraId="7B12F5F0" w14:textId="77777777" w:rsidR="004B56B2" w:rsidRDefault="004B56B2" w:rsidP="004B5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37929"/>
    <w:multiLevelType w:val="hybridMultilevel"/>
    <w:tmpl w:val="E30CD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336CDB"/>
    <w:multiLevelType w:val="hybridMultilevel"/>
    <w:tmpl w:val="9348D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843287"/>
    <w:multiLevelType w:val="hybridMultilevel"/>
    <w:tmpl w:val="5D840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8D1F09"/>
    <w:multiLevelType w:val="hybridMultilevel"/>
    <w:tmpl w:val="80E43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B9079B"/>
    <w:multiLevelType w:val="hybridMultilevel"/>
    <w:tmpl w:val="A59CD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376A7F"/>
    <w:multiLevelType w:val="hybridMultilevel"/>
    <w:tmpl w:val="C3321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8075126">
    <w:abstractNumId w:val="5"/>
  </w:num>
  <w:num w:numId="2" w16cid:durableId="386228907">
    <w:abstractNumId w:val="2"/>
  </w:num>
  <w:num w:numId="3" w16cid:durableId="82341494">
    <w:abstractNumId w:val="0"/>
  </w:num>
  <w:num w:numId="4" w16cid:durableId="628557737">
    <w:abstractNumId w:val="4"/>
  </w:num>
  <w:num w:numId="5" w16cid:durableId="1630283008">
    <w:abstractNumId w:val="1"/>
  </w:num>
  <w:num w:numId="6" w16cid:durableId="1704480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B14"/>
    <w:rsid w:val="000077A5"/>
    <w:rsid w:val="00023BBC"/>
    <w:rsid w:val="00034C58"/>
    <w:rsid w:val="000458E7"/>
    <w:rsid w:val="00080A7A"/>
    <w:rsid w:val="0009400E"/>
    <w:rsid w:val="000C1DAF"/>
    <w:rsid w:val="000C1F7F"/>
    <w:rsid w:val="000D305C"/>
    <w:rsid w:val="000E428B"/>
    <w:rsid w:val="00122DDB"/>
    <w:rsid w:val="0012303C"/>
    <w:rsid w:val="00143287"/>
    <w:rsid w:val="001465AB"/>
    <w:rsid w:val="00156B9F"/>
    <w:rsid w:val="001915E8"/>
    <w:rsid w:val="00194728"/>
    <w:rsid w:val="001A3953"/>
    <w:rsid w:val="001B78B3"/>
    <w:rsid w:val="001D1CD6"/>
    <w:rsid w:val="00217403"/>
    <w:rsid w:val="002914FF"/>
    <w:rsid w:val="00291FD3"/>
    <w:rsid w:val="002A0FD1"/>
    <w:rsid w:val="002A6132"/>
    <w:rsid w:val="002B1335"/>
    <w:rsid w:val="002B65F4"/>
    <w:rsid w:val="002E17BC"/>
    <w:rsid w:val="002F2E1D"/>
    <w:rsid w:val="003016AF"/>
    <w:rsid w:val="003029CF"/>
    <w:rsid w:val="00306C06"/>
    <w:rsid w:val="0031131C"/>
    <w:rsid w:val="00383077"/>
    <w:rsid w:val="00384F60"/>
    <w:rsid w:val="00386CEB"/>
    <w:rsid w:val="003A047F"/>
    <w:rsid w:val="003A1BB5"/>
    <w:rsid w:val="003B2965"/>
    <w:rsid w:val="003C7281"/>
    <w:rsid w:val="003C74B3"/>
    <w:rsid w:val="003D28FB"/>
    <w:rsid w:val="003E403E"/>
    <w:rsid w:val="003E4EFB"/>
    <w:rsid w:val="003F7E36"/>
    <w:rsid w:val="00402BB5"/>
    <w:rsid w:val="0041658F"/>
    <w:rsid w:val="004274B4"/>
    <w:rsid w:val="004334CF"/>
    <w:rsid w:val="0045240F"/>
    <w:rsid w:val="00491FA3"/>
    <w:rsid w:val="004B56B2"/>
    <w:rsid w:val="004C611E"/>
    <w:rsid w:val="004E31C3"/>
    <w:rsid w:val="00530FFD"/>
    <w:rsid w:val="0055294C"/>
    <w:rsid w:val="00574D3C"/>
    <w:rsid w:val="005878FD"/>
    <w:rsid w:val="0059437D"/>
    <w:rsid w:val="005C4878"/>
    <w:rsid w:val="005E0809"/>
    <w:rsid w:val="005F1B1E"/>
    <w:rsid w:val="005F1BC9"/>
    <w:rsid w:val="005F22AA"/>
    <w:rsid w:val="005F2AA3"/>
    <w:rsid w:val="00607EFA"/>
    <w:rsid w:val="006114AB"/>
    <w:rsid w:val="00626AF9"/>
    <w:rsid w:val="006415C0"/>
    <w:rsid w:val="00644953"/>
    <w:rsid w:val="00645219"/>
    <w:rsid w:val="006600C2"/>
    <w:rsid w:val="00662FEB"/>
    <w:rsid w:val="00667865"/>
    <w:rsid w:val="006A4266"/>
    <w:rsid w:val="006A5545"/>
    <w:rsid w:val="006B73AB"/>
    <w:rsid w:val="006C0F7C"/>
    <w:rsid w:val="006D2638"/>
    <w:rsid w:val="006E220C"/>
    <w:rsid w:val="006F501D"/>
    <w:rsid w:val="006F6FD9"/>
    <w:rsid w:val="007175CF"/>
    <w:rsid w:val="00721723"/>
    <w:rsid w:val="00735526"/>
    <w:rsid w:val="0075208A"/>
    <w:rsid w:val="00760E23"/>
    <w:rsid w:val="007A4B5C"/>
    <w:rsid w:val="007D1BFE"/>
    <w:rsid w:val="0080529D"/>
    <w:rsid w:val="00820687"/>
    <w:rsid w:val="00822A77"/>
    <w:rsid w:val="008678E2"/>
    <w:rsid w:val="00871EAE"/>
    <w:rsid w:val="00876ECF"/>
    <w:rsid w:val="008C7EEF"/>
    <w:rsid w:val="008F596B"/>
    <w:rsid w:val="0090736B"/>
    <w:rsid w:val="00921DF1"/>
    <w:rsid w:val="00927D58"/>
    <w:rsid w:val="00931014"/>
    <w:rsid w:val="009D3E7E"/>
    <w:rsid w:val="00A514FB"/>
    <w:rsid w:val="00A53EBE"/>
    <w:rsid w:val="00A55C38"/>
    <w:rsid w:val="00A56F14"/>
    <w:rsid w:val="00A61C55"/>
    <w:rsid w:val="00A71407"/>
    <w:rsid w:val="00A87B14"/>
    <w:rsid w:val="00A96242"/>
    <w:rsid w:val="00AB525C"/>
    <w:rsid w:val="00AD021C"/>
    <w:rsid w:val="00AE339C"/>
    <w:rsid w:val="00AF06BC"/>
    <w:rsid w:val="00B40263"/>
    <w:rsid w:val="00B659B2"/>
    <w:rsid w:val="00B7665C"/>
    <w:rsid w:val="00BB147B"/>
    <w:rsid w:val="00BC43E5"/>
    <w:rsid w:val="00BD1E0D"/>
    <w:rsid w:val="00BE7136"/>
    <w:rsid w:val="00BF014E"/>
    <w:rsid w:val="00BF1725"/>
    <w:rsid w:val="00BF18FA"/>
    <w:rsid w:val="00BF464F"/>
    <w:rsid w:val="00BF6048"/>
    <w:rsid w:val="00C0740B"/>
    <w:rsid w:val="00C15C28"/>
    <w:rsid w:val="00C237DE"/>
    <w:rsid w:val="00C3769F"/>
    <w:rsid w:val="00C51A76"/>
    <w:rsid w:val="00C54F84"/>
    <w:rsid w:val="00C63E82"/>
    <w:rsid w:val="00C76015"/>
    <w:rsid w:val="00C83804"/>
    <w:rsid w:val="00CC7097"/>
    <w:rsid w:val="00CD5052"/>
    <w:rsid w:val="00CF4CCC"/>
    <w:rsid w:val="00D0231D"/>
    <w:rsid w:val="00D460F2"/>
    <w:rsid w:val="00D5718E"/>
    <w:rsid w:val="00D6742F"/>
    <w:rsid w:val="00D91527"/>
    <w:rsid w:val="00DA334B"/>
    <w:rsid w:val="00DC4B57"/>
    <w:rsid w:val="00E1550D"/>
    <w:rsid w:val="00E16A10"/>
    <w:rsid w:val="00E220B7"/>
    <w:rsid w:val="00E22A42"/>
    <w:rsid w:val="00E7182D"/>
    <w:rsid w:val="00E837DD"/>
    <w:rsid w:val="00E9169B"/>
    <w:rsid w:val="00EA2B97"/>
    <w:rsid w:val="00ED65B1"/>
    <w:rsid w:val="00EE3826"/>
    <w:rsid w:val="00EF75A7"/>
    <w:rsid w:val="00F25652"/>
    <w:rsid w:val="00F259FA"/>
    <w:rsid w:val="00F3209F"/>
    <w:rsid w:val="00F50104"/>
    <w:rsid w:val="00F5661D"/>
    <w:rsid w:val="00F8212B"/>
    <w:rsid w:val="00F8492D"/>
    <w:rsid w:val="00FA11A9"/>
    <w:rsid w:val="00FE7029"/>
    <w:rsid w:val="00FF2186"/>
    <w:rsid w:val="00FF4C9C"/>
    <w:rsid w:val="051C068A"/>
    <w:rsid w:val="0795CB80"/>
    <w:rsid w:val="0C7A1D6B"/>
    <w:rsid w:val="11A425F6"/>
    <w:rsid w:val="1412A367"/>
    <w:rsid w:val="1801DDDF"/>
    <w:rsid w:val="1D8549F6"/>
    <w:rsid w:val="2433DBE5"/>
    <w:rsid w:val="3A9CF1A8"/>
    <w:rsid w:val="3F10D821"/>
    <w:rsid w:val="453796E1"/>
    <w:rsid w:val="4DF2A3BA"/>
    <w:rsid w:val="5F83670A"/>
    <w:rsid w:val="6222A19E"/>
    <w:rsid w:val="631047FA"/>
    <w:rsid w:val="64083FA6"/>
    <w:rsid w:val="6B74FAA7"/>
    <w:rsid w:val="6BEF68B0"/>
    <w:rsid w:val="74DB431D"/>
    <w:rsid w:val="75785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D84F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D02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25652"/>
    <w:rPr>
      <w:color w:val="0563C1"/>
      <w:u w:val="single"/>
    </w:rPr>
  </w:style>
  <w:style w:type="table" w:styleId="PlainTable4">
    <w:name w:val="Plain Table 4"/>
    <w:basedOn w:val="TableNormal"/>
    <w:uiPriority w:val="44"/>
    <w:rsid w:val="00F256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5E0809"/>
    <w:pPr>
      <w:ind w:left="720"/>
      <w:contextualSpacing/>
    </w:pPr>
  </w:style>
  <w:style w:type="paragraph" w:styleId="BalloonText">
    <w:name w:val="Balloon Text"/>
    <w:basedOn w:val="Normal"/>
    <w:link w:val="BalloonTextChar"/>
    <w:uiPriority w:val="99"/>
    <w:semiHidden/>
    <w:unhideWhenUsed/>
    <w:rsid w:val="005F2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2AA"/>
    <w:rPr>
      <w:rFonts w:ascii="Segoe UI" w:hAnsi="Segoe UI" w:cs="Segoe UI"/>
      <w:sz w:val="18"/>
      <w:szCs w:val="18"/>
    </w:rPr>
  </w:style>
  <w:style w:type="character" w:styleId="CommentReference">
    <w:name w:val="annotation reference"/>
    <w:basedOn w:val="DefaultParagraphFont"/>
    <w:uiPriority w:val="99"/>
    <w:semiHidden/>
    <w:unhideWhenUsed/>
    <w:rsid w:val="007175CF"/>
    <w:rPr>
      <w:sz w:val="16"/>
      <w:szCs w:val="16"/>
    </w:rPr>
  </w:style>
  <w:style w:type="paragraph" w:styleId="CommentText">
    <w:name w:val="annotation text"/>
    <w:basedOn w:val="Normal"/>
    <w:link w:val="CommentTextChar"/>
    <w:uiPriority w:val="99"/>
    <w:unhideWhenUsed/>
    <w:rsid w:val="007175CF"/>
    <w:pPr>
      <w:spacing w:line="240" w:lineRule="auto"/>
    </w:pPr>
    <w:rPr>
      <w:sz w:val="20"/>
      <w:szCs w:val="20"/>
    </w:rPr>
  </w:style>
  <w:style w:type="character" w:customStyle="1" w:styleId="CommentTextChar">
    <w:name w:val="Comment Text Char"/>
    <w:basedOn w:val="DefaultParagraphFont"/>
    <w:link w:val="CommentText"/>
    <w:uiPriority w:val="99"/>
    <w:rsid w:val="007175CF"/>
    <w:rPr>
      <w:sz w:val="20"/>
      <w:szCs w:val="20"/>
    </w:rPr>
  </w:style>
  <w:style w:type="paragraph" w:styleId="CommentSubject">
    <w:name w:val="annotation subject"/>
    <w:basedOn w:val="CommentText"/>
    <w:next w:val="CommentText"/>
    <w:link w:val="CommentSubjectChar"/>
    <w:uiPriority w:val="99"/>
    <w:semiHidden/>
    <w:unhideWhenUsed/>
    <w:rsid w:val="007175CF"/>
    <w:rPr>
      <w:b/>
      <w:bCs/>
    </w:rPr>
  </w:style>
  <w:style w:type="character" w:customStyle="1" w:styleId="CommentSubjectChar">
    <w:name w:val="Comment Subject Char"/>
    <w:basedOn w:val="CommentTextChar"/>
    <w:link w:val="CommentSubject"/>
    <w:uiPriority w:val="99"/>
    <w:semiHidden/>
    <w:rsid w:val="007175CF"/>
    <w:rPr>
      <w:b/>
      <w:bCs/>
      <w:sz w:val="20"/>
      <w:szCs w:val="20"/>
    </w:rPr>
  </w:style>
  <w:style w:type="character" w:styleId="FollowedHyperlink">
    <w:name w:val="FollowedHyperlink"/>
    <w:basedOn w:val="DefaultParagraphFont"/>
    <w:uiPriority w:val="99"/>
    <w:semiHidden/>
    <w:unhideWhenUsed/>
    <w:rsid w:val="003C74B3"/>
    <w:rPr>
      <w:color w:val="954F72" w:themeColor="followedHyperlink"/>
      <w:u w:val="single"/>
    </w:rPr>
  </w:style>
  <w:style w:type="paragraph" w:customStyle="1" w:styleId="Default">
    <w:name w:val="Default"/>
    <w:rsid w:val="00871EAE"/>
    <w:pPr>
      <w:autoSpaceDE w:val="0"/>
      <w:autoSpaceDN w:val="0"/>
      <w:adjustRightInd w:val="0"/>
      <w:spacing w:after="0" w:line="240" w:lineRule="auto"/>
    </w:pPr>
    <w:rPr>
      <w:rFonts w:ascii="Proxima Soft Light" w:hAnsi="Proxima Soft Light" w:cs="Proxima Soft Light"/>
      <w:color w:val="000000"/>
      <w:sz w:val="24"/>
      <w:szCs w:val="24"/>
    </w:rPr>
  </w:style>
  <w:style w:type="character" w:customStyle="1" w:styleId="A5">
    <w:name w:val="A5"/>
    <w:uiPriority w:val="99"/>
    <w:rsid w:val="00871EAE"/>
    <w:rPr>
      <w:rFonts w:cs="Proxima Soft Light"/>
      <w:color w:val="221E1F"/>
      <w:sz w:val="19"/>
      <w:szCs w:val="19"/>
      <w:u w:val="single"/>
    </w:rPr>
  </w:style>
  <w:style w:type="character" w:styleId="UnresolvedMention">
    <w:name w:val="Unresolved Mention"/>
    <w:basedOn w:val="DefaultParagraphFont"/>
    <w:uiPriority w:val="99"/>
    <w:semiHidden/>
    <w:unhideWhenUsed/>
    <w:rsid w:val="003029CF"/>
    <w:rPr>
      <w:color w:val="605E5C"/>
      <w:shd w:val="clear" w:color="auto" w:fill="E1DFDD"/>
    </w:rPr>
  </w:style>
  <w:style w:type="paragraph" w:styleId="Revision">
    <w:name w:val="Revision"/>
    <w:hidden/>
    <w:uiPriority w:val="99"/>
    <w:semiHidden/>
    <w:rsid w:val="00217403"/>
    <w:pPr>
      <w:spacing w:after="0" w:line="240" w:lineRule="auto"/>
    </w:pPr>
  </w:style>
  <w:style w:type="paragraph" w:styleId="Header">
    <w:name w:val="header"/>
    <w:basedOn w:val="Normal"/>
    <w:link w:val="HeaderChar"/>
    <w:uiPriority w:val="99"/>
    <w:unhideWhenUsed/>
    <w:rsid w:val="004B56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6B2"/>
  </w:style>
  <w:style w:type="paragraph" w:styleId="Footer">
    <w:name w:val="footer"/>
    <w:basedOn w:val="Normal"/>
    <w:link w:val="FooterChar"/>
    <w:uiPriority w:val="99"/>
    <w:unhideWhenUsed/>
    <w:rsid w:val="004B56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860715">
      <w:bodyDiv w:val="1"/>
      <w:marLeft w:val="0"/>
      <w:marRight w:val="0"/>
      <w:marTop w:val="0"/>
      <w:marBottom w:val="0"/>
      <w:divBdr>
        <w:top w:val="none" w:sz="0" w:space="0" w:color="auto"/>
        <w:left w:val="none" w:sz="0" w:space="0" w:color="auto"/>
        <w:bottom w:val="none" w:sz="0" w:space="0" w:color="auto"/>
        <w:right w:val="none" w:sz="0" w:space="0" w:color="auto"/>
      </w:divBdr>
    </w:div>
    <w:div w:id="167707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a.sustainability.payments@dva.gov.au" TargetMode="External"/><Relationship Id="rId13" Type="http://schemas.openxmlformats.org/officeDocument/2006/relationships/hyperlink" Target="https://www.dva.gov.au/get-support/providers/programs-services/community-nursing-services-and-providers/sustainability-payments-community-nursing-and-veterans-home-care-providers" TargetMode="External"/><Relationship Id="rId18" Type="http://schemas.openxmlformats.org/officeDocument/2006/relationships/hyperlink" Target="mailto:NNWS@health.gov.au" TargetMode="External"/><Relationship Id="rId26" Type="http://schemas.openxmlformats.org/officeDocument/2006/relationships/hyperlink" Target="https://www.dva.gov.au/sites/default/files/2024-06/notes-for-community-nursing-providers-july-2024.pdf" TargetMode="External"/><Relationship Id="rId3" Type="http://schemas.openxmlformats.org/officeDocument/2006/relationships/settings" Target="settings.xml"/><Relationship Id="rId21" Type="http://schemas.openxmlformats.org/officeDocument/2006/relationships/hyperlink" Target="https://www.dva.gov.au/sites/default/files/2024-06/community-nursing-schedule-of-fees-1-july-2024.pdf" TargetMode="External"/><Relationship Id="rId7" Type="http://schemas.openxmlformats.org/officeDocument/2006/relationships/image" Target="media/image1.png"/><Relationship Id="rId12" Type="http://schemas.openxmlformats.org/officeDocument/2006/relationships/hyperlink" Target="mailto:dva.sustainability.payments@dva.gov.au" TargetMode="External"/><Relationship Id="rId17" Type="http://schemas.openxmlformats.org/officeDocument/2006/relationships/hyperlink" Target="https://consultations.health.gov.au/health-workforce/nnws" TargetMode="External"/><Relationship Id="rId25" Type="http://schemas.openxmlformats.org/officeDocument/2006/relationships/hyperlink" Target="mailto:exceptional.cases@dva.gov.au"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cid:image028.png@01D8F42B.EA0AFF70" TargetMode="External"/><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unity.nursing.contracts@dva.gov.au" TargetMode="External"/><Relationship Id="rId24" Type="http://schemas.openxmlformats.org/officeDocument/2006/relationships/hyperlink" Target="https://www.dva.gov.au/sites/default/files/2024-06/community-nursing-schedule-of-fees-1-july-2024.pdf"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dva.gov.au/sites/default/files/2024-06/community-nursing-schedule-of-fees-1-july-2024.pdf" TargetMode="External"/><Relationship Id="rId28" Type="http://schemas.openxmlformats.org/officeDocument/2006/relationships/hyperlink" Target="https://medcast.com.au/veterans-health" TargetMode="External"/><Relationship Id="rId10" Type="http://schemas.openxmlformats.org/officeDocument/2006/relationships/hyperlink" Target="https://www.servicesaustralia.gov.au/software-developers-for-medicare-online-eclipse-and-australian-immunisation-register-air" TargetMode="Externa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s://www.dva.gov.au/sites/default/files/2024-06/notes-for-community-nursing-providers-july-2024.pdf" TargetMode="External"/><Relationship Id="rId27" Type="http://schemas.openxmlformats.org/officeDocument/2006/relationships/hyperlink" Target="https://www.dva.gov.au/get-support/providers/quick-guid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1480</Words>
  <Characters>8294</Characters>
  <Application>Microsoft Office Word</Application>
  <DocSecurity>0</DocSecurity>
  <Lines>162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2024-09-23T05:58:00Z</dcterms:created>
  <dcterms:modified xsi:type="dcterms:W3CDTF">2024-09-24T01:00:00Z</dcterms:modified>
</cp:coreProperties>
</file>