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3"/>
        <w:gridCol w:w="1843"/>
        <w:gridCol w:w="917"/>
        <w:gridCol w:w="909"/>
        <w:gridCol w:w="909"/>
        <w:gridCol w:w="909"/>
        <w:gridCol w:w="909"/>
      </w:tblGrid>
      <w:tr w:rsidR="00B2151F" w:rsidRPr="00AD271D" w14:paraId="18AC79BE" w14:textId="77777777" w:rsidTr="0078715C">
        <w:trPr>
          <w:trHeight w:val="300"/>
        </w:trPr>
        <w:tc>
          <w:tcPr>
            <w:tcW w:w="4243" w:type="dxa"/>
            <w:vMerge w:val="restart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148BE60F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bookmarkStart w:id="0" w:name="_GoBack"/>
            <w:bookmarkEnd w:id="0"/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Payment measure ($’000)</w:t>
            </w:r>
          </w:p>
        </w:tc>
        <w:tc>
          <w:tcPr>
            <w:tcW w:w="1843" w:type="dxa"/>
            <w:vMerge w:val="restart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560585F2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Lead agency</w:t>
            </w:r>
          </w:p>
        </w:tc>
        <w:tc>
          <w:tcPr>
            <w:tcW w:w="917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2CF06D1B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2023</w:t>
            </w:r>
          </w:p>
        </w:tc>
        <w:tc>
          <w:tcPr>
            <w:tcW w:w="909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1E9676A2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2024</w:t>
            </w:r>
          </w:p>
        </w:tc>
        <w:tc>
          <w:tcPr>
            <w:tcW w:w="909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0D51E5D1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2025</w:t>
            </w:r>
          </w:p>
        </w:tc>
        <w:tc>
          <w:tcPr>
            <w:tcW w:w="909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19EA48E9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2026</w:t>
            </w:r>
          </w:p>
        </w:tc>
        <w:tc>
          <w:tcPr>
            <w:tcW w:w="909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4BFBDF25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2027</w:t>
            </w:r>
          </w:p>
        </w:tc>
      </w:tr>
      <w:tr w:rsidR="00B2151F" w:rsidRPr="00AD271D" w14:paraId="100A409A" w14:textId="77777777" w:rsidTr="0078715C">
        <w:trPr>
          <w:trHeight w:val="585"/>
        </w:trPr>
        <w:tc>
          <w:tcPr>
            <w:tcW w:w="4243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vAlign w:val="center"/>
            <w:hideMark/>
          </w:tcPr>
          <w:p w14:paraId="2BC725B2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vAlign w:val="center"/>
            <w:hideMark/>
          </w:tcPr>
          <w:p w14:paraId="11FDF5EF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56D08440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Cs w:val="21"/>
              </w:rPr>
              <w:t>–</w:t>
            </w: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186E6E75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Cs w:val="21"/>
              </w:rPr>
              <w:t>–</w:t>
            </w: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5F9044DC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Cs w:val="21"/>
              </w:rPr>
              <w:t>–</w:t>
            </w: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3CAE9B44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Cs w:val="21"/>
              </w:rPr>
              <w:t>–</w:t>
            </w: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11875666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Cs w:val="21"/>
              </w:rPr>
              <w:t>–</w:t>
            </w: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28</w:t>
            </w:r>
          </w:p>
        </w:tc>
      </w:tr>
      <w:tr w:rsidR="00AD271D" w:rsidRPr="00AD271D" w14:paraId="32D26ACD" w14:textId="77777777" w:rsidTr="0078715C">
        <w:trPr>
          <w:trHeight w:val="300"/>
        </w:trPr>
        <w:tc>
          <w:tcPr>
            <w:tcW w:w="10639" w:type="dxa"/>
            <w:gridSpan w:val="7"/>
            <w:tcBorders>
              <w:top w:val="single" w:sz="8" w:space="0" w:color="auto"/>
              <w:left w:val="single" w:sz="8" w:space="0" w:color="D9D9D9"/>
              <w:bottom w:val="nil"/>
              <w:right w:val="nil"/>
            </w:tcBorders>
            <w:shd w:val="clear" w:color="000000" w:fill="FFD68B"/>
            <w:vAlign w:val="center"/>
            <w:hideMark/>
          </w:tcPr>
          <w:p w14:paraId="745D1A9A" w14:textId="77777777" w:rsidR="00AD271D" w:rsidRPr="00AD271D" w:rsidRDefault="00AD271D" w:rsidP="00D142CB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1.1 Veterans' Income Support and Allowances</w:t>
            </w:r>
          </w:p>
        </w:tc>
      </w:tr>
      <w:tr w:rsidR="00B2151F" w:rsidRPr="00AD271D" w14:paraId="1C82E7F7" w14:textId="77777777" w:rsidTr="0078715C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4D5800D4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Commonwealth Rent Assistance – increase the maximum rates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4424B45C" w14:textId="3CD69FAC" w:rsidR="00AD271D" w:rsidRPr="00AD271D" w:rsidRDefault="00F635DB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 xml:space="preserve">Social Services </w:t>
            </w:r>
            <w:r w:rsidR="00B2151F">
              <w:rPr>
                <w:rFonts w:ascii="Calibri" w:eastAsia="Times New Roman" w:hAnsi="Calibri" w:cs="Calibri"/>
                <w:color w:val="000000"/>
                <w:szCs w:val="21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>DSS</w:t>
            </w:r>
            <w:r w:rsidR="00B2151F">
              <w:rPr>
                <w:rFonts w:ascii="Calibri" w:eastAsia="Times New Roman" w:hAnsi="Calibri" w:cs="Calibri"/>
                <w:color w:val="000000"/>
                <w:szCs w:val="21"/>
              </w:rPr>
              <w:t>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4F28041D" w14:textId="49F525C0" w:rsidR="00AD271D" w:rsidRPr="00AD271D" w:rsidRDefault="00B2151F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4D32AC71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1,722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2C0E5813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2,226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3D558F65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2,152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166ADBE7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2,089</w:t>
            </w:r>
          </w:p>
        </w:tc>
      </w:tr>
      <w:tr w:rsidR="00AD271D" w:rsidRPr="00AD271D" w14:paraId="3E641422" w14:textId="77777777" w:rsidTr="0078715C">
        <w:trPr>
          <w:trHeight w:val="300"/>
        </w:trPr>
        <w:tc>
          <w:tcPr>
            <w:tcW w:w="10639" w:type="dxa"/>
            <w:gridSpan w:val="7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D68B"/>
            <w:vAlign w:val="center"/>
            <w:hideMark/>
          </w:tcPr>
          <w:p w14:paraId="6509A74D" w14:textId="77777777" w:rsidR="00AD271D" w:rsidRPr="00AD271D" w:rsidRDefault="00AD271D" w:rsidP="00D142CB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1.5 Veterans' Children Education Scheme</w:t>
            </w:r>
          </w:p>
        </w:tc>
      </w:tr>
      <w:tr w:rsidR="00B2151F" w:rsidRPr="00AD271D" w14:paraId="2F8B50E2" w14:textId="77777777" w:rsidTr="0078715C">
        <w:trPr>
          <w:trHeight w:val="584"/>
        </w:trPr>
        <w:tc>
          <w:tcPr>
            <w:tcW w:w="42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20652A0E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Commonwealth Rent Assistance – increase the maximum rates</w:t>
            </w:r>
          </w:p>
        </w:tc>
        <w:tc>
          <w:tcPr>
            <w:tcW w:w="1843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640B1C6C" w14:textId="400F1AFE" w:rsidR="00AD271D" w:rsidRPr="00AD271D" w:rsidRDefault="00F635DB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DSS</w:t>
            </w:r>
          </w:p>
        </w:tc>
        <w:tc>
          <w:tcPr>
            <w:tcW w:w="917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194E4410" w14:textId="510E925C" w:rsidR="00AD271D" w:rsidRPr="00AD271D" w:rsidRDefault="00B2151F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6A95D1B5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48</w:t>
            </w:r>
          </w:p>
        </w:tc>
        <w:tc>
          <w:tcPr>
            <w:tcW w:w="909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109AF9ED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70</w:t>
            </w:r>
          </w:p>
        </w:tc>
        <w:tc>
          <w:tcPr>
            <w:tcW w:w="909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2472C587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77</w:t>
            </w:r>
          </w:p>
        </w:tc>
        <w:tc>
          <w:tcPr>
            <w:tcW w:w="909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62108A02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83</w:t>
            </w:r>
          </w:p>
        </w:tc>
      </w:tr>
      <w:tr w:rsidR="00AD271D" w:rsidRPr="00AD271D" w14:paraId="487A7D96" w14:textId="77777777" w:rsidTr="0078715C">
        <w:trPr>
          <w:trHeight w:val="300"/>
        </w:trPr>
        <w:tc>
          <w:tcPr>
            <w:tcW w:w="10639" w:type="dxa"/>
            <w:gridSpan w:val="7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D68B"/>
            <w:vAlign w:val="center"/>
            <w:hideMark/>
          </w:tcPr>
          <w:p w14:paraId="0EAAC5FF" w14:textId="77777777" w:rsidR="00AD271D" w:rsidRPr="00AD271D" w:rsidRDefault="00AD271D" w:rsidP="00D142CB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Attributed to All Outcome 1 Programs</w:t>
            </w:r>
          </w:p>
        </w:tc>
      </w:tr>
      <w:tr w:rsidR="00B2151F" w:rsidRPr="00AD271D" w14:paraId="4F0148FE" w14:textId="77777777" w:rsidTr="0078715C">
        <w:trPr>
          <w:trHeight w:val="585"/>
        </w:trPr>
        <w:tc>
          <w:tcPr>
            <w:tcW w:w="42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1E30B4F1" w14:textId="77777777" w:rsidR="00B2151F" w:rsidRPr="00AD271D" w:rsidRDefault="00B2151F" w:rsidP="00B2151F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APS Capability Reinvestment Fund: 2024</w:t>
            </w: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noBreakHyphen/>
              <w:t>25 projects funded under round two</w:t>
            </w:r>
          </w:p>
        </w:tc>
        <w:tc>
          <w:tcPr>
            <w:tcW w:w="1843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4D9A4609" w14:textId="424991D8" w:rsidR="00B2151F" w:rsidRPr="00AD271D" w:rsidRDefault="00B2151F" w:rsidP="00B2151F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 xml:space="preserve">rime </w:t>
            </w: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 xml:space="preserve">inister </w:t>
            </w: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 xml:space="preserve"> </w:t>
            </w: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>abinet</w:t>
            </w:r>
          </w:p>
        </w:tc>
        <w:tc>
          <w:tcPr>
            <w:tcW w:w="917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327DA1DC" w14:textId="3F69AFE5" w:rsidR="00B2151F" w:rsidRPr="00AD271D" w:rsidRDefault="00B2151F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18B73F8E" w14:textId="77777777" w:rsidR="00B2151F" w:rsidRPr="00AD271D" w:rsidRDefault="00B2151F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47</w:t>
            </w:r>
          </w:p>
        </w:tc>
        <w:tc>
          <w:tcPr>
            <w:tcW w:w="909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490DDAC4" w14:textId="58E0FBD0" w:rsidR="00B2151F" w:rsidRPr="00AD271D" w:rsidRDefault="00B2151F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C9132A"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338E632D" w14:textId="2A505F24" w:rsidR="00B2151F" w:rsidRPr="00AD271D" w:rsidRDefault="00B2151F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C9132A"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787F843E" w14:textId="168722F1" w:rsidR="00B2151F" w:rsidRPr="00AD271D" w:rsidRDefault="00B2151F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C9132A"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</w:tr>
      <w:tr w:rsidR="00D142CB" w:rsidRPr="00AD271D" w14:paraId="45ABC395" w14:textId="77777777" w:rsidTr="0078715C">
        <w:trPr>
          <w:trHeight w:val="584"/>
        </w:trPr>
        <w:tc>
          <w:tcPr>
            <w:tcW w:w="42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B6946F4" w14:textId="5A3C4617" w:rsidR="00D142CB" w:rsidRPr="00AD271D" w:rsidRDefault="00D142CB" w:rsidP="00D142C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EE09DC">
              <w:rPr>
                <w:rFonts w:ascii="Calibri" w:eastAsia="Times New Roman" w:hAnsi="Calibri" w:cs="Calibri"/>
                <w:color w:val="000000"/>
                <w:szCs w:val="21"/>
              </w:rPr>
              <w:t>Defence Service Homes Insurance Scheme Review</w:t>
            </w:r>
            <w:r w:rsidR="00C5070B">
              <w:rPr>
                <w:rStyle w:val="FootnoteReference"/>
                <w:rFonts w:ascii="Calibri" w:eastAsia="Times New Roman" w:hAnsi="Calibri" w:cs="Calibri"/>
                <w:color w:val="000000"/>
                <w:szCs w:val="21"/>
              </w:rPr>
              <w:footnoteReference w:id="1"/>
            </w:r>
          </w:p>
        </w:tc>
        <w:tc>
          <w:tcPr>
            <w:tcW w:w="1843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0D3D4E1" w14:textId="6CB7C3FB" w:rsidR="00D142CB" w:rsidRDefault="00D142CB" w:rsidP="00D142C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Veterans’ Affairs (DVA)</w:t>
            </w:r>
          </w:p>
        </w:tc>
        <w:tc>
          <w:tcPr>
            <w:tcW w:w="9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</w:tcPr>
          <w:p w14:paraId="099ABE91" w14:textId="6A2A9C1A" w:rsidR="00D142CB" w:rsidRDefault="00D142CB" w:rsidP="00D142C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</w:tcPr>
          <w:p w14:paraId="108D79D9" w14:textId="7FB3808F" w:rsidR="00D142CB" w:rsidRDefault="00D142CB" w:rsidP="00D142C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</w:tcPr>
          <w:p w14:paraId="1E884403" w14:textId="2457FC77" w:rsidR="00D142CB" w:rsidRDefault="00D142CB" w:rsidP="00D142C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</w:tcPr>
          <w:p w14:paraId="6CA5FA2F" w14:textId="5E7D2749" w:rsidR="00D142CB" w:rsidRPr="00AD271D" w:rsidRDefault="00D142CB" w:rsidP="00D142C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</w:tcPr>
          <w:p w14:paraId="367BC7C6" w14:textId="0259155B" w:rsidR="00D142CB" w:rsidRPr="00AD271D" w:rsidRDefault="00D142CB" w:rsidP="00D142C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3F2B96" w:rsidRPr="00AD271D" w14:paraId="681DCECC" w14:textId="77777777" w:rsidTr="0078715C">
        <w:trPr>
          <w:trHeight w:val="584"/>
        </w:trPr>
        <w:tc>
          <w:tcPr>
            <w:tcW w:w="42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9B399FD" w14:textId="16EAADFD" w:rsidR="003F2B96" w:rsidRPr="003F2B96" w:rsidRDefault="003F2B96" w:rsidP="003F2B96">
            <w:pPr>
              <w:spacing w:before="0" w:line="240" w:lineRule="auto"/>
              <w:rPr>
                <w:rFonts w:ascii="Calibri" w:eastAsia="Times New Roman" w:hAnsi="Calibri" w:cs="Calibri"/>
                <w:szCs w:val="21"/>
              </w:rPr>
            </w:pPr>
            <w:r w:rsidRPr="003F2B96">
              <w:rPr>
                <w:rFonts w:ascii="Calibri" w:hAnsi="Calibri" w:cs="Calibri"/>
                <w:szCs w:val="21"/>
              </w:rPr>
              <w:t>Establishment of the Administrative Review Tribunal and Addressing Extremely High Migration Backlogs in the Courts</w:t>
            </w:r>
            <w:r w:rsidR="00C5070B">
              <w:rPr>
                <w:rStyle w:val="FootnoteReference"/>
                <w:rFonts w:ascii="Calibri" w:hAnsi="Calibri" w:cs="Calibri"/>
                <w:szCs w:val="21"/>
              </w:rPr>
              <w:footnoteReference w:id="2"/>
            </w:r>
            <w:r w:rsidRPr="003F2B96">
              <w:rPr>
                <w:rFonts w:ascii="Calibri" w:hAnsi="Calibri" w:cs="Calibri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A27663D" w14:textId="4C618237" w:rsidR="003F2B96" w:rsidRPr="00C45B36" w:rsidRDefault="00C45B36" w:rsidP="003F2B96">
            <w:pPr>
              <w:spacing w:before="0" w:line="240" w:lineRule="auto"/>
              <w:rPr>
                <w:rFonts w:ascii="Calibri" w:hAnsi="Calibri" w:cs="Calibri"/>
                <w:color w:val="FF0000"/>
                <w:szCs w:val="21"/>
              </w:rPr>
            </w:pPr>
            <w:r w:rsidRPr="00C45B36">
              <w:rPr>
                <w:rFonts w:ascii="Calibri" w:hAnsi="Calibri" w:cs="Calibri"/>
                <w:szCs w:val="21"/>
              </w:rPr>
              <w:t>Attorney</w:t>
            </w:r>
            <w:r>
              <w:rPr>
                <w:rFonts w:ascii="Calibri" w:hAnsi="Calibri" w:cs="Calibri"/>
                <w:szCs w:val="21"/>
              </w:rPr>
              <w:noBreakHyphen/>
            </w:r>
            <w:r w:rsidRPr="00C45B36">
              <w:rPr>
                <w:rFonts w:ascii="Calibri" w:hAnsi="Calibri" w:cs="Calibri"/>
                <w:szCs w:val="21"/>
              </w:rPr>
              <w:t>General's Department (AGD)</w:t>
            </w:r>
          </w:p>
        </w:tc>
        <w:tc>
          <w:tcPr>
            <w:tcW w:w="9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</w:tcPr>
          <w:p w14:paraId="4489F825" w14:textId="5D57BCCF" w:rsidR="003F2B96" w:rsidRPr="003F2B96" w:rsidRDefault="003F2B96" w:rsidP="003F2B96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Cs w:val="21"/>
              </w:rPr>
            </w:pPr>
            <w:r>
              <w:rPr>
                <w:rFonts w:ascii="Calibri" w:eastAsia="Times New Roman" w:hAnsi="Calibri" w:cs="Calibri"/>
                <w:szCs w:val="21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</w:tcPr>
          <w:p w14:paraId="7C016FF1" w14:textId="509052C3" w:rsidR="003F2B96" w:rsidRPr="003F2B96" w:rsidRDefault="003F2B96" w:rsidP="003F2B96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</w:tcPr>
          <w:p w14:paraId="5E305BD9" w14:textId="3420EEF2" w:rsidR="003F2B96" w:rsidRPr="003F2B96" w:rsidRDefault="003F2B96" w:rsidP="003F2B96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</w:tcPr>
          <w:p w14:paraId="004071DF" w14:textId="124B2E0B" w:rsidR="003F2B96" w:rsidRPr="003F2B96" w:rsidRDefault="003F2B96" w:rsidP="003F2B96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</w:tcPr>
          <w:p w14:paraId="435D29EA" w14:textId="4203D58F" w:rsidR="003F2B96" w:rsidRPr="003F2B96" w:rsidRDefault="003F2B96" w:rsidP="003F2B96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</w:tr>
      <w:tr w:rsidR="00B2151F" w:rsidRPr="00AD271D" w14:paraId="19EDA785" w14:textId="77777777" w:rsidTr="0078715C">
        <w:trPr>
          <w:trHeight w:val="317"/>
        </w:trPr>
        <w:tc>
          <w:tcPr>
            <w:tcW w:w="42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7F5A0585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Reform of Veterans' Compensation Legislation</w:t>
            </w:r>
          </w:p>
        </w:tc>
        <w:tc>
          <w:tcPr>
            <w:tcW w:w="1843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3B92C9EF" w14:textId="064A0773" w:rsidR="00AD271D" w:rsidRPr="00AD271D" w:rsidRDefault="00D142CB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DVA</w:t>
            </w:r>
          </w:p>
        </w:tc>
        <w:tc>
          <w:tcPr>
            <w:tcW w:w="9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0959B12A" w14:textId="0F5F220F" w:rsidR="00AD271D" w:rsidRPr="00AD271D" w:rsidRDefault="00B2151F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50EE5BD8" w14:textId="33E0C8B1" w:rsidR="00AD271D" w:rsidRPr="00AD271D" w:rsidRDefault="00FF04F3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</w:t>
            </w:r>
            <w:r w:rsidR="00AD271D" w:rsidRPr="00AD271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63464129" w14:textId="43CBCE77" w:rsidR="00AD271D" w:rsidRPr="00AD271D" w:rsidRDefault="00FF04F3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</w:t>
            </w:r>
            <w:r w:rsidR="00AD271D" w:rsidRPr="00AD271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2,007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193EBDFA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99,646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170AF1DF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82,123</w:t>
            </w:r>
          </w:p>
        </w:tc>
      </w:tr>
      <w:tr w:rsidR="00B2151F" w:rsidRPr="00AD271D" w14:paraId="69B4ECA4" w14:textId="77777777" w:rsidTr="0078715C">
        <w:trPr>
          <w:trHeight w:val="317"/>
        </w:trPr>
        <w:tc>
          <w:tcPr>
            <w:tcW w:w="424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4D4052F0" w14:textId="3DC09DF9" w:rsidR="00AD271D" w:rsidRPr="00D142CB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D142CB">
              <w:rPr>
                <w:rFonts w:ascii="Calibri" w:eastAsia="Times New Roman" w:hAnsi="Calibri" w:cs="Calibri"/>
                <w:color w:val="000000"/>
                <w:szCs w:val="21"/>
              </w:rPr>
              <w:t>Savings from External Labour – Extension</w:t>
            </w:r>
          </w:p>
        </w:tc>
        <w:tc>
          <w:tcPr>
            <w:tcW w:w="1843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37BA8ED0" w14:textId="3C29B49F" w:rsidR="00AD271D" w:rsidRPr="00D142CB" w:rsidRDefault="00FF04F3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D142CB">
              <w:rPr>
                <w:rFonts w:ascii="Calibri" w:eastAsia="Times New Roman" w:hAnsi="Calibri" w:cs="Calibri"/>
                <w:color w:val="000000"/>
                <w:szCs w:val="21"/>
              </w:rPr>
              <w:t>Cross Portfolio</w:t>
            </w:r>
          </w:p>
        </w:tc>
        <w:tc>
          <w:tcPr>
            <w:tcW w:w="9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0B05A24C" w14:textId="55CE5551" w:rsidR="00AD271D" w:rsidRPr="00AD271D" w:rsidRDefault="00B2151F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72300430" w14:textId="10926B9B" w:rsidR="00AD271D" w:rsidRPr="00AD271D" w:rsidRDefault="00FF04F3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(</w:t>
            </w:r>
            <w:r w:rsidR="00AD271D" w:rsidRPr="00AD271D">
              <w:rPr>
                <w:rFonts w:ascii="Calibri" w:eastAsia="Times New Roman" w:hAnsi="Calibri" w:cs="Calibri"/>
                <w:color w:val="000000"/>
                <w:szCs w:val="21"/>
              </w:rPr>
              <w:t>703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>)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371DA9B0" w14:textId="06A21E9D" w:rsidR="00AD271D" w:rsidRPr="00AD271D" w:rsidRDefault="00FF04F3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(</w:t>
            </w:r>
            <w:r w:rsidR="00AD271D" w:rsidRPr="00AD271D">
              <w:rPr>
                <w:rFonts w:ascii="Calibri" w:eastAsia="Times New Roman" w:hAnsi="Calibri" w:cs="Calibri"/>
                <w:color w:val="000000"/>
                <w:szCs w:val="21"/>
              </w:rPr>
              <w:t>784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>)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08038F58" w14:textId="7A1F644B" w:rsidR="00AD271D" w:rsidRPr="00AD271D" w:rsidRDefault="00FF04F3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(</w:t>
            </w:r>
            <w:r w:rsidR="00AD271D" w:rsidRPr="00AD271D">
              <w:rPr>
                <w:rFonts w:ascii="Calibri" w:eastAsia="Times New Roman" w:hAnsi="Calibri" w:cs="Calibri"/>
                <w:color w:val="000000"/>
                <w:szCs w:val="21"/>
              </w:rPr>
              <w:t>589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>)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0B9EE49C" w14:textId="69D7C1EE" w:rsidR="00AD271D" w:rsidRPr="00AD271D" w:rsidRDefault="00FF04F3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(</w:t>
            </w:r>
            <w:r w:rsidR="00AD271D" w:rsidRPr="00AD271D">
              <w:rPr>
                <w:rFonts w:ascii="Calibri" w:eastAsia="Times New Roman" w:hAnsi="Calibri" w:cs="Calibri"/>
                <w:color w:val="000000"/>
                <w:szCs w:val="21"/>
              </w:rPr>
              <w:t>4,160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>)</w:t>
            </w:r>
          </w:p>
        </w:tc>
      </w:tr>
      <w:tr w:rsidR="00D142CB" w:rsidRPr="00AD271D" w14:paraId="2B99A3AB" w14:textId="77777777" w:rsidTr="0078715C">
        <w:trPr>
          <w:trHeight w:val="317"/>
        </w:trPr>
        <w:tc>
          <w:tcPr>
            <w:tcW w:w="424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AA89321" w14:textId="6B69C089" w:rsidR="00D142CB" w:rsidRPr="00D142CB" w:rsidRDefault="00D142CB" w:rsidP="00D142CB">
            <w:pPr>
              <w:spacing w:before="0" w:line="240" w:lineRule="auto"/>
              <w:rPr>
                <w:rFonts w:ascii="Calibri" w:eastAsia="Times New Roman" w:hAnsi="Calibri" w:cs="Calibri"/>
                <w:szCs w:val="21"/>
              </w:rPr>
            </w:pPr>
            <w:r w:rsidRPr="00D142CB">
              <w:rPr>
                <w:rFonts w:ascii="Calibri" w:hAnsi="Calibri" w:cs="Calibri"/>
                <w:szCs w:val="21"/>
              </w:rPr>
              <w:t>Supporting Veteran Owned Business Grant Program</w:t>
            </w:r>
            <w:r w:rsidR="00C5070B">
              <w:rPr>
                <w:rStyle w:val="FootnoteReference"/>
                <w:rFonts w:ascii="Calibri" w:hAnsi="Calibri" w:cs="Calibri"/>
                <w:szCs w:val="21"/>
              </w:rPr>
              <w:footnoteReference w:id="3"/>
            </w:r>
          </w:p>
        </w:tc>
        <w:tc>
          <w:tcPr>
            <w:tcW w:w="1843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021068B" w14:textId="7109BD5A" w:rsidR="00D142CB" w:rsidRPr="00D142CB" w:rsidRDefault="00D142CB" w:rsidP="00D142CB">
            <w:pPr>
              <w:spacing w:before="0" w:line="240" w:lineRule="auto"/>
              <w:rPr>
                <w:rFonts w:ascii="Calibri" w:eastAsia="Times New Roman" w:hAnsi="Calibri" w:cs="Calibri"/>
                <w:szCs w:val="21"/>
              </w:rPr>
            </w:pPr>
            <w:r w:rsidRPr="00D142CB">
              <w:rPr>
                <w:rFonts w:ascii="Calibri" w:hAnsi="Calibri" w:cs="Calibri"/>
                <w:szCs w:val="21"/>
              </w:rPr>
              <w:t>DVA</w:t>
            </w:r>
          </w:p>
        </w:tc>
        <w:tc>
          <w:tcPr>
            <w:tcW w:w="9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E04ED1F" w14:textId="45CFF40F" w:rsidR="00D142CB" w:rsidRDefault="00D142CB" w:rsidP="00D142C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E0983F2" w14:textId="136392A6" w:rsidR="00D142CB" w:rsidRDefault="00D142CB" w:rsidP="00D142C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E17B1E9" w14:textId="37699E82" w:rsidR="00D142CB" w:rsidRDefault="00D142CB" w:rsidP="00D142C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E10E6B3" w14:textId="1E3EE106" w:rsidR="00D142CB" w:rsidRDefault="00D142CB" w:rsidP="00D142C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96F3D91" w14:textId="02924B4E" w:rsidR="00D142CB" w:rsidRDefault="00D142CB" w:rsidP="00D142C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-</w:t>
            </w:r>
          </w:p>
        </w:tc>
      </w:tr>
      <w:tr w:rsidR="00AD271D" w:rsidRPr="00AD271D" w14:paraId="2F1DB227" w14:textId="77777777" w:rsidTr="0078715C">
        <w:trPr>
          <w:trHeight w:val="315"/>
        </w:trPr>
        <w:tc>
          <w:tcPr>
            <w:tcW w:w="10639" w:type="dxa"/>
            <w:gridSpan w:val="7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ECC9"/>
            <w:vAlign w:val="center"/>
            <w:hideMark/>
          </w:tcPr>
          <w:p w14:paraId="5CE743B7" w14:textId="4A5D16BE" w:rsidR="00AD271D" w:rsidRPr="00AD271D" w:rsidRDefault="00AD271D" w:rsidP="00D142CB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2.1 General Medical Consultation and Services</w:t>
            </w:r>
          </w:p>
        </w:tc>
      </w:tr>
      <w:tr w:rsidR="00B2151F" w:rsidRPr="00AD271D" w14:paraId="0EA72A4D" w14:textId="77777777" w:rsidTr="0078715C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4F231EEE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Funding for the Alfred Hospital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11667C49" w14:textId="43F97B32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Health</w:t>
            </w:r>
            <w:r w:rsidR="00B2151F">
              <w:rPr>
                <w:rFonts w:ascii="Calibri" w:eastAsia="Times New Roman" w:hAnsi="Calibri" w:cs="Calibri"/>
                <w:color w:val="000000"/>
                <w:szCs w:val="21"/>
              </w:rPr>
              <w:t xml:space="preserve"> and Aged Care (Health)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23BABE9C" w14:textId="5D9E3AEE" w:rsidR="00AD271D" w:rsidRPr="00AD271D" w:rsidRDefault="00B2151F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4E2F2217" w14:textId="47C554FD" w:rsidR="00AD271D" w:rsidRPr="00AD271D" w:rsidRDefault="00B2151F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013BA7C6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61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689FFB1E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65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5C71A3D6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66</w:t>
            </w:r>
          </w:p>
        </w:tc>
      </w:tr>
      <w:tr w:rsidR="00B2151F" w:rsidRPr="00AD271D" w14:paraId="46F3ADBE" w14:textId="77777777" w:rsidTr="0078715C">
        <w:trPr>
          <w:trHeight w:val="584"/>
        </w:trPr>
        <w:tc>
          <w:tcPr>
            <w:tcW w:w="424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3E0E927B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Pharmaceutical Benefits Scheme (PBS) – new and amended listings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50164F9A" w14:textId="08C43455" w:rsidR="00AD271D" w:rsidRPr="00AD271D" w:rsidRDefault="00EE09DC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Health</w:t>
            </w:r>
          </w:p>
        </w:tc>
        <w:tc>
          <w:tcPr>
            <w:tcW w:w="917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02F89566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1588245A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22E75050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1F00DFB6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7F930A00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B2151F" w:rsidRPr="00AD271D" w14:paraId="412590EB" w14:textId="77777777" w:rsidTr="0078715C">
        <w:trPr>
          <w:trHeight w:val="585"/>
        </w:trPr>
        <w:tc>
          <w:tcPr>
            <w:tcW w:w="424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0D5D22BA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Strengthening Medicare – an effective and clinically appropriate Medicare Benefits Schedule (MBS)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4909DEBC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Health</w:t>
            </w:r>
          </w:p>
        </w:tc>
        <w:tc>
          <w:tcPr>
            <w:tcW w:w="917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1AB2AFBC" w14:textId="3B319A67" w:rsidR="00AD271D" w:rsidRPr="00AD271D" w:rsidRDefault="00B2151F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540C862E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1,064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7F84661A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1,054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154DFA05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1,448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6B7D4DFB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2,240</w:t>
            </w:r>
          </w:p>
        </w:tc>
      </w:tr>
      <w:tr w:rsidR="00B2151F" w:rsidRPr="00AD271D" w14:paraId="108BDAF1" w14:textId="77777777" w:rsidTr="0078715C">
        <w:trPr>
          <w:trHeight w:val="585"/>
        </w:trPr>
        <w:tc>
          <w:tcPr>
            <w:tcW w:w="424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59354F3A" w14:textId="6A184E5C" w:rsidR="00AD271D" w:rsidRPr="00AD271D" w:rsidRDefault="00AD271D" w:rsidP="00EE09DC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Strengthening Medicare – Medicare Urgent Care Clinics – additional funding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6D2D4553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Health</w:t>
            </w:r>
          </w:p>
        </w:tc>
        <w:tc>
          <w:tcPr>
            <w:tcW w:w="917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7CC97882" w14:textId="27BA0EEC" w:rsidR="00AD271D" w:rsidRPr="00AD271D" w:rsidRDefault="00B2151F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58212111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1,613</w:t>
            </w:r>
          </w:p>
        </w:tc>
        <w:tc>
          <w:tcPr>
            <w:tcW w:w="909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09FE5D2D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1,533</w:t>
            </w:r>
          </w:p>
        </w:tc>
        <w:tc>
          <w:tcPr>
            <w:tcW w:w="909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7E492C35" w14:textId="69E0D1CB" w:rsidR="00AD271D" w:rsidRPr="00AD271D" w:rsidRDefault="00B2151F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5831FB8B" w14:textId="721568B6" w:rsidR="00AD271D" w:rsidRPr="00AD271D" w:rsidRDefault="00B2151F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</w:tr>
      <w:tr w:rsidR="00B2151F" w:rsidRPr="00AD271D" w14:paraId="1B9D8813" w14:textId="77777777" w:rsidTr="0078715C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605B020D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Supporting Ongoing Access to Vaccines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1E6A96E6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Health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7A2BB7CA" w14:textId="22EB55B3" w:rsidR="00AD271D" w:rsidRPr="00AD271D" w:rsidRDefault="00B2151F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7A36B019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760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1F0EA8B1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1,170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106A60A6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1,261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5C0A8BAE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1,330</w:t>
            </w:r>
          </w:p>
        </w:tc>
      </w:tr>
      <w:tr w:rsidR="00AD271D" w:rsidRPr="00AD271D" w14:paraId="36C5AF31" w14:textId="77777777" w:rsidTr="0078715C">
        <w:trPr>
          <w:trHeight w:val="315"/>
        </w:trPr>
        <w:tc>
          <w:tcPr>
            <w:tcW w:w="10639" w:type="dxa"/>
            <w:gridSpan w:val="7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ECC9"/>
            <w:vAlign w:val="center"/>
            <w:hideMark/>
          </w:tcPr>
          <w:p w14:paraId="057A1008" w14:textId="77777777" w:rsidR="00AD271D" w:rsidRPr="00AD271D" w:rsidRDefault="00AD271D" w:rsidP="00D142CB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2.3 Veterans' Pharmaceuticals Benefits</w:t>
            </w:r>
          </w:p>
        </w:tc>
      </w:tr>
      <w:tr w:rsidR="00B2151F" w:rsidRPr="00AD271D" w14:paraId="5583DB56" w14:textId="77777777" w:rsidTr="0078715C">
        <w:trPr>
          <w:trHeight w:val="584"/>
        </w:trPr>
        <w:tc>
          <w:tcPr>
            <w:tcW w:w="42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58DEABB0" w14:textId="16FD5A50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Pharmaceutical Benefits Scheme (PBS)</w:t>
            </w:r>
            <w:r w:rsidR="00EE09DC">
              <w:rPr>
                <w:rFonts w:ascii="Calibri" w:eastAsia="Times New Roman" w:hAnsi="Calibri" w:cs="Calibri"/>
                <w:color w:val="000000"/>
                <w:szCs w:val="21"/>
              </w:rPr>
              <w:t xml:space="preserve"> </w:t>
            </w:r>
            <w:r w:rsidR="00EE09DC" w:rsidRPr="00AD271D">
              <w:rPr>
                <w:rFonts w:ascii="Calibri" w:eastAsia="Times New Roman" w:hAnsi="Calibri" w:cs="Calibri"/>
                <w:color w:val="000000"/>
                <w:szCs w:val="21"/>
              </w:rPr>
              <w:t>–</w:t>
            </w:r>
            <w:r w:rsidR="00EE09DC">
              <w:rPr>
                <w:rFonts w:ascii="Calibri" w:eastAsia="Times New Roman" w:hAnsi="Calibri" w:cs="Calibri"/>
                <w:color w:val="000000"/>
                <w:szCs w:val="21"/>
              </w:rPr>
              <w:t xml:space="preserve"> n</w:t>
            </w: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 xml:space="preserve">ew and </w:t>
            </w:r>
            <w:r w:rsidR="00EE09DC">
              <w:rPr>
                <w:rFonts w:ascii="Calibri" w:eastAsia="Times New Roman" w:hAnsi="Calibri" w:cs="Calibri"/>
                <w:color w:val="000000"/>
                <w:szCs w:val="21"/>
              </w:rPr>
              <w:t>a</w:t>
            </w: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 xml:space="preserve">mended </w:t>
            </w:r>
            <w:r w:rsidR="00EE09DC">
              <w:rPr>
                <w:rFonts w:ascii="Calibri" w:eastAsia="Times New Roman" w:hAnsi="Calibri" w:cs="Calibri"/>
                <w:color w:val="000000"/>
                <w:szCs w:val="21"/>
              </w:rPr>
              <w:t>l</w:t>
            </w: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istings</w:t>
            </w:r>
          </w:p>
        </w:tc>
        <w:tc>
          <w:tcPr>
            <w:tcW w:w="18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716D6450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Health</w:t>
            </w:r>
          </w:p>
        </w:tc>
        <w:tc>
          <w:tcPr>
            <w:tcW w:w="9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0CAE480D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6,013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150EDF49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19,046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7698AEB6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16,276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5A7368FD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10,034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188F88E8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9,837</w:t>
            </w:r>
          </w:p>
        </w:tc>
      </w:tr>
      <w:tr w:rsidR="00B2151F" w:rsidRPr="00AD271D" w14:paraId="294153AF" w14:textId="77777777" w:rsidTr="0078715C">
        <w:trPr>
          <w:trHeight w:val="315"/>
        </w:trPr>
        <w:tc>
          <w:tcPr>
            <w:tcW w:w="42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3E824EC7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Securing Cheaper Medicines</w:t>
            </w:r>
          </w:p>
        </w:tc>
        <w:tc>
          <w:tcPr>
            <w:tcW w:w="18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28150EA6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Health</w:t>
            </w:r>
          </w:p>
        </w:tc>
        <w:tc>
          <w:tcPr>
            <w:tcW w:w="9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4ADFAE6D" w14:textId="6AACBD6E" w:rsidR="00AD271D" w:rsidRPr="00AD271D" w:rsidRDefault="00B2151F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02336750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423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090F2821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1,096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25833915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1,871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3631A2DA" w14:textId="77777777" w:rsidR="00AD271D" w:rsidRPr="00AD271D" w:rsidRDefault="00AD271D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2,423</w:t>
            </w:r>
          </w:p>
        </w:tc>
      </w:tr>
      <w:tr w:rsidR="00AD271D" w:rsidRPr="00AD271D" w14:paraId="07B8461F" w14:textId="77777777" w:rsidTr="0078715C">
        <w:trPr>
          <w:trHeight w:val="315"/>
        </w:trPr>
        <w:tc>
          <w:tcPr>
            <w:tcW w:w="10639" w:type="dxa"/>
            <w:gridSpan w:val="7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ECC9"/>
            <w:vAlign w:val="center"/>
            <w:hideMark/>
          </w:tcPr>
          <w:p w14:paraId="09D9E87A" w14:textId="77777777" w:rsidR="00AD271D" w:rsidRPr="00AD271D" w:rsidRDefault="00AD271D" w:rsidP="00D142CB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Attributed to All Outcome 2 Programs</w:t>
            </w:r>
          </w:p>
        </w:tc>
      </w:tr>
      <w:tr w:rsidR="00B2151F" w:rsidRPr="00AD271D" w14:paraId="7B4D5B73" w14:textId="77777777" w:rsidTr="0078715C">
        <w:trPr>
          <w:trHeight w:val="585"/>
        </w:trPr>
        <w:tc>
          <w:tcPr>
            <w:tcW w:w="424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4366D6C6" w14:textId="15247718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Continuing Veterans' Access to Health and Support Programs</w:t>
            </w:r>
            <w:r w:rsidR="00C5070B">
              <w:rPr>
                <w:rStyle w:val="FootnoteReference"/>
                <w:rFonts w:ascii="Calibri" w:eastAsia="Times New Roman" w:hAnsi="Calibri" w:cs="Calibri"/>
                <w:color w:val="000000"/>
                <w:szCs w:val="21"/>
              </w:rPr>
              <w:footnoteReference w:id="4"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5B4A36A8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DVA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491FA4DF" w14:textId="39D4AFAF" w:rsidR="00AD271D" w:rsidRPr="00AD271D" w:rsidRDefault="00B2151F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5E04D0AF" w14:textId="5DC8D042" w:rsidR="00AD271D" w:rsidRPr="00AD271D" w:rsidRDefault="00243821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28,492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79C6A2F6" w14:textId="59A8D3B0" w:rsidR="00AD271D" w:rsidRPr="00AD271D" w:rsidRDefault="00243821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27,715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5466ABF4" w14:textId="2A651985" w:rsidR="00AD271D" w:rsidRPr="00AD271D" w:rsidRDefault="00243821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2,386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01DFA1C3" w14:textId="4379D076" w:rsidR="00AD271D" w:rsidRPr="00AD271D" w:rsidRDefault="00B2151F" w:rsidP="00FF04F3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</w:tr>
      <w:tr w:rsidR="003F2B96" w:rsidRPr="00AD271D" w14:paraId="6FE2F373" w14:textId="77777777" w:rsidTr="0078715C">
        <w:trPr>
          <w:trHeight w:val="315"/>
        </w:trPr>
        <w:tc>
          <w:tcPr>
            <w:tcW w:w="42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023DECC" w14:textId="3ACDEE0F" w:rsidR="003F2B96" w:rsidRPr="00AD271D" w:rsidRDefault="003F2B96" w:rsidP="003F2B96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3F2B96">
              <w:rPr>
                <w:rFonts w:ascii="Calibri" w:hAnsi="Calibri" w:cs="Calibri"/>
                <w:szCs w:val="21"/>
              </w:rPr>
              <w:t>Establishment of the Administrative Review Tribunal and Addressing Extremely High Migration Backlogs in the Courts</w:t>
            </w:r>
            <w:r w:rsidR="00C5070B">
              <w:rPr>
                <w:rFonts w:ascii="Calibri" w:hAnsi="Calibri" w:cs="Calibri"/>
                <w:szCs w:val="21"/>
              </w:rPr>
              <w:t>²</w:t>
            </w:r>
          </w:p>
        </w:tc>
        <w:tc>
          <w:tcPr>
            <w:tcW w:w="18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B2717A4" w14:textId="392731B5" w:rsidR="003F2B96" w:rsidRPr="00AD271D" w:rsidRDefault="00C45B36" w:rsidP="003F2B96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AGD</w:t>
            </w:r>
          </w:p>
        </w:tc>
        <w:tc>
          <w:tcPr>
            <w:tcW w:w="9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</w:tcPr>
          <w:p w14:paraId="55C2DF1F" w14:textId="3D0674DF" w:rsidR="003F2B96" w:rsidRPr="00AA0FA4" w:rsidRDefault="003F2B96" w:rsidP="003F2B96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szCs w:val="21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</w:tcPr>
          <w:p w14:paraId="2FF67B82" w14:textId="3BBE5A64" w:rsidR="003F2B96" w:rsidRPr="00AA0FA4" w:rsidRDefault="003F2B96" w:rsidP="003F2B96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</w:tcPr>
          <w:p w14:paraId="1DECFC80" w14:textId="109E7DD5" w:rsidR="003F2B96" w:rsidRPr="00AD271D" w:rsidRDefault="003F2B96" w:rsidP="003F2B96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</w:tcPr>
          <w:p w14:paraId="279F7EE9" w14:textId="2B4DFD24" w:rsidR="003F2B96" w:rsidRPr="00AD271D" w:rsidRDefault="003F2B96" w:rsidP="003F2B96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</w:tcPr>
          <w:p w14:paraId="2CD48444" w14:textId="69F520B9" w:rsidR="003F2B96" w:rsidRPr="00AD271D" w:rsidRDefault="003F2B96" w:rsidP="003F2B96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</w:tr>
      <w:tr w:rsidR="00B2151F" w:rsidRPr="00AD271D" w14:paraId="38CC0764" w14:textId="77777777" w:rsidTr="0078715C">
        <w:trPr>
          <w:trHeight w:val="315"/>
        </w:trPr>
        <w:tc>
          <w:tcPr>
            <w:tcW w:w="42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61BA5206" w14:textId="77777777" w:rsidR="00B2151F" w:rsidRPr="00AD271D" w:rsidRDefault="00B2151F" w:rsidP="00B2151F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Reform of Veterans' Compensation Legislation</w:t>
            </w:r>
          </w:p>
        </w:tc>
        <w:tc>
          <w:tcPr>
            <w:tcW w:w="18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43E99BB4" w14:textId="77777777" w:rsidR="00B2151F" w:rsidRPr="00AD271D" w:rsidRDefault="00B2151F" w:rsidP="00B2151F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DVA</w:t>
            </w:r>
          </w:p>
        </w:tc>
        <w:tc>
          <w:tcPr>
            <w:tcW w:w="9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hideMark/>
          </w:tcPr>
          <w:p w14:paraId="740714F7" w14:textId="2280D766" w:rsidR="00B2151F" w:rsidRPr="00AD271D" w:rsidRDefault="00B2151F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A0FA4"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hideMark/>
          </w:tcPr>
          <w:p w14:paraId="4EBC39FF" w14:textId="3C12FD02" w:rsidR="00B2151F" w:rsidRPr="00AD271D" w:rsidRDefault="00B2151F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A0FA4"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2609C5A1" w14:textId="77777777" w:rsidR="00B2151F" w:rsidRPr="00AD271D" w:rsidRDefault="00B2151F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5FEF6ABB" w14:textId="77777777" w:rsidR="00B2151F" w:rsidRPr="00AD271D" w:rsidRDefault="00B2151F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14,818</w:t>
            </w:r>
          </w:p>
        </w:tc>
        <w:tc>
          <w:tcPr>
            <w:tcW w:w="9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7EDE7F71" w14:textId="77777777" w:rsidR="00B2151F" w:rsidRPr="00AD271D" w:rsidRDefault="00B2151F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19,995</w:t>
            </w:r>
          </w:p>
        </w:tc>
      </w:tr>
    </w:tbl>
    <w:p w14:paraId="45D47745" w14:textId="5C66A566" w:rsidR="00C5070B" w:rsidRDefault="00C5070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3"/>
        <w:gridCol w:w="1843"/>
        <w:gridCol w:w="917"/>
        <w:gridCol w:w="909"/>
        <w:gridCol w:w="909"/>
        <w:gridCol w:w="909"/>
        <w:gridCol w:w="909"/>
      </w:tblGrid>
      <w:tr w:rsidR="00AD271D" w:rsidRPr="00AD271D" w14:paraId="052BA482" w14:textId="77777777" w:rsidTr="0078715C">
        <w:trPr>
          <w:trHeight w:val="315"/>
        </w:trPr>
        <w:tc>
          <w:tcPr>
            <w:tcW w:w="10639" w:type="dxa"/>
            <w:gridSpan w:val="7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89B"/>
            <w:vAlign w:val="center"/>
            <w:hideMark/>
          </w:tcPr>
          <w:p w14:paraId="06444C31" w14:textId="2F540870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3.1 War Graves</w:t>
            </w:r>
          </w:p>
        </w:tc>
      </w:tr>
      <w:tr w:rsidR="00B2151F" w:rsidRPr="00AD271D" w14:paraId="3EE4A98F" w14:textId="77777777" w:rsidTr="0078715C">
        <w:trPr>
          <w:trHeight w:val="584"/>
        </w:trPr>
        <w:tc>
          <w:tcPr>
            <w:tcW w:w="424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7652C53F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Commonwealth War Graves Commission – additional funding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606600AA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DVA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4434607C" w14:textId="54254C05" w:rsidR="00AD271D" w:rsidRPr="00AD271D" w:rsidRDefault="00B2151F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28665003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385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78184A32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385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56E34877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385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685FD113" w14:textId="45281D90" w:rsidR="00AD271D" w:rsidRPr="00AD271D" w:rsidRDefault="00B2151F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</w:tr>
      <w:tr w:rsidR="00AD271D" w:rsidRPr="00AD271D" w14:paraId="540F6EBB" w14:textId="77777777" w:rsidTr="0078715C">
        <w:trPr>
          <w:trHeight w:val="315"/>
        </w:trPr>
        <w:tc>
          <w:tcPr>
            <w:tcW w:w="10639" w:type="dxa"/>
            <w:gridSpan w:val="7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3BB"/>
            <w:vAlign w:val="center"/>
            <w:hideMark/>
          </w:tcPr>
          <w:p w14:paraId="65499CC0" w14:textId="1BCBCFAE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Attributed to All Outcomes</w:t>
            </w:r>
          </w:p>
        </w:tc>
      </w:tr>
      <w:tr w:rsidR="00B2151F" w:rsidRPr="00AD271D" w14:paraId="5E6FCC34" w14:textId="77777777" w:rsidTr="0078715C">
        <w:trPr>
          <w:trHeight w:val="585"/>
        </w:trPr>
        <w:tc>
          <w:tcPr>
            <w:tcW w:w="42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6F17D4DF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Department of Veterans' Affairs – additional resourcing to support service delivery</w:t>
            </w:r>
          </w:p>
        </w:tc>
        <w:tc>
          <w:tcPr>
            <w:tcW w:w="1843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004E6028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DVA</w:t>
            </w:r>
          </w:p>
        </w:tc>
        <w:tc>
          <w:tcPr>
            <w:tcW w:w="917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59CB9CCC" w14:textId="1DAE3D6A" w:rsidR="00AD271D" w:rsidRPr="00AD271D" w:rsidRDefault="00B2151F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734B15C6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93,983</w:t>
            </w:r>
          </w:p>
        </w:tc>
        <w:tc>
          <w:tcPr>
            <w:tcW w:w="909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228F4917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59,942</w:t>
            </w:r>
          </w:p>
        </w:tc>
        <w:tc>
          <w:tcPr>
            <w:tcW w:w="909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6DF3AA14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20,137</w:t>
            </w:r>
          </w:p>
        </w:tc>
        <w:tc>
          <w:tcPr>
            <w:tcW w:w="909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37D0C058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20,349</w:t>
            </w:r>
          </w:p>
        </w:tc>
      </w:tr>
      <w:tr w:rsidR="00AD271D" w:rsidRPr="00AD271D" w14:paraId="59E93BF4" w14:textId="77777777" w:rsidTr="0078715C">
        <w:trPr>
          <w:trHeight w:val="315"/>
        </w:trPr>
        <w:tc>
          <w:tcPr>
            <w:tcW w:w="6086" w:type="dxa"/>
            <w:gridSpan w:val="2"/>
            <w:tcBorders>
              <w:top w:val="single" w:sz="8" w:space="0" w:color="D9D9D9"/>
              <w:left w:val="single" w:sz="8" w:space="0" w:color="D9D9D9"/>
              <w:right w:val="nil"/>
            </w:tcBorders>
            <w:shd w:val="clear" w:color="000000" w:fill="ABD592"/>
            <w:vAlign w:val="center"/>
            <w:hideMark/>
          </w:tcPr>
          <w:p w14:paraId="01F9D7BD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Total DVA funding</w:t>
            </w:r>
          </w:p>
        </w:tc>
        <w:tc>
          <w:tcPr>
            <w:tcW w:w="917" w:type="dxa"/>
            <w:tcBorders>
              <w:top w:val="nil"/>
              <w:left w:val="nil"/>
              <w:right w:val="single" w:sz="8" w:space="0" w:color="D9D9D9"/>
            </w:tcBorders>
            <w:shd w:val="clear" w:color="000000" w:fill="ABD592"/>
            <w:vAlign w:val="center"/>
            <w:hideMark/>
          </w:tcPr>
          <w:p w14:paraId="68D60FE6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6,054</w:t>
            </w:r>
          </w:p>
        </w:tc>
        <w:tc>
          <w:tcPr>
            <w:tcW w:w="909" w:type="dxa"/>
            <w:tcBorders>
              <w:top w:val="nil"/>
              <w:left w:val="nil"/>
              <w:right w:val="single" w:sz="8" w:space="0" w:color="D9D9D9"/>
            </w:tcBorders>
            <w:shd w:val="clear" w:color="000000" w:fill="ABD592"/>
            <w:vAlign w:val="center"/>
            <w:hideMark/>
          </w:tcPr>
          <w:p w14:paraId="772CEB22" w14:textId="1E6CE13C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14</w:t>
            </w:r>
            <w:r w:rsidR="00AB6716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6</w:t>
            </w: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,</w:t>
            </w:r>
            <w:r w:rsidR="00AB6716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052</w:t>
            </w:r>
          </w:p>
        </w:tc>
        <w:tc>
          <w:tcPr>
            <w:tcW w:w="909" w:type="dxa"/>
            <w:tcBorders>
              <w:top w:val="nil"/>
              <w:left w:val="nil"/>
              <w:right w:val="single" w:sz="8" w:space="0" w:color="D9D9D9"/>
            </w:tcBorders>
            <w:shd w:val="clear" w:color="000000" w:fill="ABD592"/>
            <w:vAlign w:val="center"/>
            <w:hideMark/>
          </w:tcPr>
          <w:p w14:paraId="11455C82" w14:textId="05AED7FF" w:rsidR="00AD271D" w:rsidRPr="00AD271D" w:rsidRDefault="00AB6716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109,177</w:t>
            </w:r>
          </w:p>
        </w:tc>
        <w:tc>
          <w:tcPr>
            <w:tcW w:w="909" w:type="dxa"/>
            <w:tcBorders>
              <w:top w:val="nil"/>
              <w:left w:val="nil"/>
              <w:right w:val="single" w:sz="8" w:space="0" w:color="D9D9D9"/>
            </w:tcBorders>
            <w:shd w:val="clear" w:color="000000" w:fill="ABD592"/>
            <w:vAlign w:val="center"/>
            <w:hideMark/>
          </w:tcPr>
          <w:p w14:paraId="2CFAA319" w14:textId="6C953601" w:rsidR="00AD271D" w:rsidRPr="00AD271D" w:rsidRDefault="00AB6716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153,797</w:t>
            </w:r>
          </w:p>
        </w:tc>
        <w:tc>
          <w:tcPr>
            <w:tcW w:w="909" w:type="dxa"/>
            <w:tcBorders>
              <w:top w:val="nil"/>
              <w:left w:val="nil"/>
              <w:right w:val="single" w:sz="8" w:space="0" w:color="D9D9D9"/>
            </w:tcBorders>
            <w:shd w:val="clear" w:color="000000" w:fill="ABD592"/>
            <w:vAlign w:val="center"/>
            <w:hideMark/>
          </w:tcPr>
          <w:p w14:paraId="264FAE94" w14:textId="6ADA67EE" w:rsidR="00AD271D" w:rsidRPr="00AD271D" w:rsidRDefault="00AB6716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136,468</w:t>
            </w:r>
          </w:p>
        </w:tc>
      </w:tr>
      <w:tr w:rsidR="00AD271D" w:rsidRPr="00AD271D" w14:paraId="6EC005EE" w14:textId="77777777" w:rsidTr="0078715C">
        <w:trPr>
          <w:trHeight w:val="315"/>
        </w:trPr>
        <w:tc>
          <w:tcPr>
            <w:tcW w:w="6086" w:type="dxa"/>
            <w:gridSpan w:val="2"/>
            <w:vMerge w:val="restart"/>
            <w:tcBorders>
              <w:left w:val="single" w:sz="8" w:space="0" w:color="D9D9D9"/>
              <w:bottom w:val="single" w:sz="8" w:space="0" w:color="D9D9D9"/>
              <w:right w:val="nil"/>
            </w:tcBorders>
            <w:shd w:val="clear" w:color="000000" w:fill="3C619B"/>
            <w:vAlign w:val="center"/>
            <w:hideMark/>
          </w:tcPr>
          <w:p w14:paraId="599ADEE6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Total funding for DVA measures which impact other agencies ($’000)</w:t>
            </w:r>
          </w:p>
        </w:tc>
        <w:tc>
          <w:tcPr>
            <w:tcW w:w="917" w:type="dxa"/>
            <w:tcBorders>
              <w:left w:val="nil"/>
              <w:bottom w:val="nil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25660A47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2023</w:t>
            </w:r>
          </w:p>
        </w:tc>
        <w:tc>
          <w:tcPr>
            <w:tcW w:w="909" w:type="dxa"/>
            <w:tcBorders>
              <w:left w:val="nil"/>
              <w:bottom w:val="nil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56A50EC6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2024</w:t>
            </w:r>
          </w:p>
        </w:tc>
        <w:tc>
          <w:tcPr>
            <w:tcW w:w="909" w:type="dxa"/>
            <w:tcBorders>
              <w:left w:val="nil"/>
              <w:bottom w:val="nil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153498A0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2025</w:t>
            </w:r>
          </w:p>
        </w:tc>
        <w:tc>
          <w:tcPr>
            <w:tcW w:w="909" w:type="dxa"/>
            <w:tcBorders>
              <w:left w:val="nil"/>
              <w:bottom w:val="nil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1DCFEBAC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2026</w:t>
            </w:r>
          </w:p>
        </w:tc>
        <w:tc>
          <w:tcPr>
            <w:tcW w:w="909" w:type="dxa"/>
            <w:tcBorders>
              <w:left w:val="nil"/>
              <w:bottom w:val="nil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4C90EC24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2027</w:t>
            </w:r>
          </w:p>
        </w:tc>
      </w:tr>
      <w:tr w:rsidR="00AD271D" w:rsidRPr="00AD271D" w14:paraId="2904D64A" w14:textId="77777777" w:rsidTr="0078715C">
        <w:trPr>
          <w:trHeight w:val="300"/>
        </w:trPr>
        <w:tc>
          <w:tcPr>
            <w:tcW w:w="6086" w:type="dxa"/>
            <w:gridSpan w:val="2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  <w:vAlign w:val="center"/>
            <w:hideMark/>
          </w:tcPr>
          <w:p w14:paraId="57B06808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2593DC64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Cs w:val="21"/>
              </w:rPr>
              <w:t>–</w:t>
            </w: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347AA7DE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Cs w:val="21"/>
              </w:rPr>
              <w:t>–</w:t>
            </w: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6086CAAF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Cs w:val="21"/>
              </w:rPr>
              <w:t>–</w:t>
            </w: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2E1A9004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Cs w:val="21"/>
              </w:rPr>
              <w:t>–</w:t>
            </w: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4C13A745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Cs w:val="21"/>
              </w:rPr>
              <w:t>–</w:t>
            </w: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28</w:t>
            </w:r>
          </w:p>
        </w:tc>
      </w:tr>
      <w:tr w:rsidR="00AD271D" w:rsidRPr="00AD271D" w14:paraId="42B655DD" w14:textId="77777777" w:rsidTr="0078715C">
        <w:trPr>
          <w:trHeight w:val="315"/>
        </w:trPr>
        <w:tc>
          <w:tcPr>
            <w:tcW w:w="6086" w:type="dxa"/>
            <w:gridSpan w:val="2"/>
            <w:tcBorders>
              <w:top w:val="single" w:sz="12" w:space="0" w:color="000000"/>
              <w:left w:val="single" w:sz="8" w:space="0" w:color="D9D9D9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6C76783A" w14:textId="238F0EA1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Continuing Veterans' Access to Health and Support Programs</w:t>
            </w:r>
          </w:p>
        </w:tc>
        <w:tc>
          <w:tcPr>
            <w:tcW w:w="917" w:type="dxa"/>
            <w:tcBorders>
              <w:top w:val="single" w:sz="12" w:space="0" w:color="000000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17EF47ED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 </w:t>
            </w:r>
          </w:p>
        </w:tc>
        <w:tc>
          <w:tcPr>
            <w:tcW w:w="909" w:type="dxa"/>
            <w:tcBorders>
              <w:top w:val="single" w:sz="12" w:space="0" w:color="000000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51A71681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 </w:t>
            </w:r>
          </w:p>
        </w:tc>
        <w:tc>
          <w:tcPr>
            <w:tcW w:w="909" w:type="dxa"/>
            <w:tcBorders>
              <w:top w:val="single" w:sz="12" w:space="0" w:color="000000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121730AD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 </w:t>
            </w:r>
          </w:p>
        </w:tc>
        <w:tc>
          <w:tcPr>
            <w:tcW w:w="909" w:type="dxa"/>
            <w:tcBorders>
              <w:top w:val="single" w:sz="12" w:space="0" w:color="000000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1EB32036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 </w:t>
            </w:r>
          </w:p>
        </w:tc>
        <w:tc>
          <w:tcPr>
            <w:tcW w:w="909" w:type="dxa"/>
            <w:tcBorders>
              <w:top w:val="single" w:sz="12" w:space="0" w:color="000000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58E77668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 </w:t>
            </w:r>
          </w:p>
        </w:tc>
      </w:tr>
      <w:tr w:rsidR="00B2151F" w:rsidRPr="00AD271D" w14:paraId="1C14E9FE" w14:textId="77777777" w:rsidTr="0078715C">
        <w:trPr>
          <w:trHeight w:val="315"/>
        </w:trPr>
        <w:tc>
          <w:tcPr>
            <w:tcW w:w="6086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6808D035" w14:textId="77777777" w:rsidR="00B2151F" w:rsidRPr="00AD271D" w:rsidRDefault="00B2151F" w:rsidP="00B2151F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DVA funding</w:t>
            </w:r>
          </w:p>
        </w:tc>
        <w:tc>
          <w:tcPr>
            <w:tcW w:w="91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352861B0" w14:textId="28D400D7" w:rsidR="00B2151F" w:rsidRPr="00AD271D" w:rsidRDefault="00B2151F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69386E02" w14:textId="5E806E2F" w:rsidR="00B2151F" w:rsidRPr="00AD271D" w:rsidRDefault="00B2151F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2</w:t>
            </w:r>
            <w:r w:rsidR="00243821">
              <w:rPr>
                <w:rFonts w:ascii="Calibri" w:eastAsia="Times New Roman" w:hAnsi="Calibri" w:cs="Calibri"/>
                <w:color w:val="000000"/>
                <w:szCs w:val="21"/>
              </w:rPr>
              <w:t>8</w:t>
            </w: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,</w:t>
            </w:r>
            <w:r w:rsidR="00243821">
              <w:rPr>
                <w:rFonts w:ascii="Calibri" w:eastAsia="Times New Roman" w:hAnsi="Calibri" w:cs="Calibri"/>
                <w:color w:val="000000"/>
                <w:szCs w:val="21"/>
              </w:rPr>
              <w:t>492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34E13119" w14:textId="5A247876" w:rsidR="00B2151F" w:rsidRPr="00AD271D" w:rsidRDefault="00243821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27,715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3E2554EA" w14:textId="234BDCE4" w:rsidR="00B2151F" w:rsidRPr="00AD271D" w:rsidRDefault="00243821" w:rsidP="00243821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2,386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hideMark/>
          </w:tcPr>
          <w:p w14:paraId="39375DC4" w14:textId="5B4A7433" w:rsidR="00B2151F" w:rsidRPr="00AD271D" w:rsidRDefault="00B2151F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794B2E"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</w:tr>
      <w:tr w:rsidR="00AD271D" w:rsidRPr="00AD271D" w14:paraId="4D22F47E" w14:textId="77777777" w:rsidTr="0078715C">
        <w:trPr>
          <w:trHeight w:val="315"/>
        </w:trPr>
        <w:tc>
          <w:tcPr>
            <w:tcW w:w="6086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69617B2E" w14:textId="77777777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Department of Health and Aged Care funding</w:t>
            </w:r>
          </w:p>
        </w:tc>
        <w:tc>
          <w:tcPr>
            <w:tcW w:w="91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5BBF7F9B" w14:textId="3837BFE3" w:rsidR="00AD271D" w:rsidRPr="00AD271D" w:rsidRDefault="00B2151F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5C8F4CBA" w14:textId="5C2BA08B" w:rsidR="00AD271D" w:rsidRPr="00AD271D" w:rsidRDefault="00AB6716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(</w:t>
            </w:r>
            <w:r w:rsidR="00AD271D" w:rsidRPr="00AD271D">
              <w:rPr>
                <w:rFonts w:ascii="Calibri" w:eastAsia="Times New Roman" w:hAnsi="Calibri" w:cs="Calibri"/>
                <w:color w:val="000000"/>
                <w:szCs w:val="21"/>
              </w:rPr>
              <w:t>474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>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007F593C" w14:textId="53A7135E" w:rsidR="00AD271D" w:rsidRPr="00AD271D" w:rsidRDefault="00AB6716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(</w:t>
            </w:r>
            <w:r w:rsidR="00AD271D" w:rsidRPr="00AD271D">
              <w:rPr>
                <w:rFonts w:ascii="Calibri" w:eastAsia="Times New Roman" w:hAnsi="Calibri" w:cs="Calibri"/>
                <w:color w:val="000000"/>
                <w:szCs w:val="21"/>
              </w:rPr>
              <w:t>501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>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308F0839" w14:textId="20A82852" w:rsidR="00AD271D" w:rsidRPr="00AD271D" w:rsidRDefault="00AB6716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(</w:t>
            </w:r>
            <w:r w:rsidR="00AD271D" w:rsidRPr="00AD271D">
              <w:rPr>
                <w:rFonts w:ascii="Calibri" w:eastAsia="Times New Roman" w:hAnsi="Calibri" w:cs="Calibri"/>
                <w:color w:val="000000"/>
                <w:szCs w:val="21"/>
              </w:rPr>
              <w:t>260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>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7A3B39BD" w14:textId="2F060E8D" w:rsidR="00AD271D" w:rsidRPr="00AD271D" w:rsidRDefault="00B2151F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</w:tr>
      <w:tr w:rsidR="00AD271D" w:rsidRPr="00AD271D" w14:paraId="7E080924" w14:textId="77777777" w:rsidTr="0078715C">
        <w:trPr>
          <w:trHeight w:val="315"/>
        </w:trPr>
        <w:tc>
          <w:tcPr>
            <w:tcW w:w="6086" w:type="dxa"/>
            <w:gridSpan w:val="2"/>
            <w:tcBorders>
              <w:top w:val="single" w:sz="8" w:space="0" w:color="D9D9D9"/>
              <w:left w:val="nil"/>
              <w:bottom w:val="single" w:sz="12" w:space="0" w:color="000000"/>
              <w:right w:val="single" w:sz="8" w:space="0" w:color="D9D9D9"/>
            </w:tcBorders>
            <w:shd w:val="clear" w:color="000000" w:fill="ABD592"/>
            <w:vAlign w:val="center"/>
            <w:hideMark/>
          </w:tcPr>
          <w:p w14:paraId="510A6C80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Total funding for the measure</w:t>
            </w:r>
          </w:p>
        </w:tc>
        <w:tc>
          <w:tcPr>
            <w:tcW w:w="917" w:type="dxa"/>
            <w:tcBorders>
              <w:top w:val="nil"/>
              <w:left w:val="single" w:sz="8" w:space="0" w:color="D9D9D9"/>
              <w:bottom w:val="single" w:sz="12" w:space="0" w:color="000000"/>
              <w:right w:val="single" w:sz="8" w:space="0" w:color="D9D9D9"/>
            </w:tcBorders>
            <w:shd w:val="clear" w:color="000000" w:fill="ABD592"/>
            <w:vAlign w:val="center"/>
            <w:hideMark/>
          </w:tcPr>
          <w:p w14:paraId="17F14577" w14:textId="3C512537" w:rsidR="00AD271D" w:rsidRPr="00AD271D" w:rsidRDefault="00B2151F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12" w:space="0" w:color="000000"/>
              <w:right w:val="single" w:sz="8" w:space="0" w:color="D9D9D9"/>
            </w:tcBorders>
            <w:shd w:val="clear" w:color="000000" w:fill="ABD592"/>
            <w:vAlign w:val="center"/>
            <w:hideMark/>
          </w:tcPr>
          <w:p w14:paraId="1E02AD57" w14:textId="42AD7558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2</w:t>
            </w:r>
            <w:r w:rsidR="00243821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8</w:t>
            </w: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,</w:t>
            </w:r>
            <w:r w:rsidR="00243821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018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12" w:space="0" w:color="000000"/>
              <w:right w:val="single" w:sz="8" w:space="0" w:color="D9D9D9"/>
            </w:tcBorders>
            <w:shd w:val="clear" w:color="000000" w:fill="ABD592"/>
            <w:vAlign w:val="center"/>
            <w:hideMark/>
          </w:tcPr>
          <w:p w14:paraId="67C0A48A" w14:textId="7B44C2C0" w:rsidR="00AD271D" w:rsidRPr="00AD271D" w:rsidRDefault="00243821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27,214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12" w:space="0" w:color="000000"/>
              <w:right w:val="single" w:sz="8" w:space="0" w:color="D9D9D9"/>
            </w:tcBorders>
            <w:shd w:val="clear" w:color="000000" w:fill="ABD592"/>
            <w:vAlign w:val="center"/>
            <w:hideMark/>
          </w:tcPr>
          <w:p w14:paraId="64753C57" w14:textId="6CF8B692" w:rsidR="00AD271D" w:rsidRPr="00AD271D" w:rsidRDefault="00243821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2,126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12" w:space="0" w:color="000000"/>
              <w:right w:val="single" w:sz="8" w:space="0" w:color="D9D9D9"/>
            </w:tcBorders>
            <w:shd w:val="clear" w:color="000000" w:fill="ABD592"/>
            <w:vAlign w:val="center"/>
            <w:hideMark/>
          </w:tcPr>
          <w:p w14:paraId="0098B944" w14:textId="57A685A6" w:rsidR="00AD271D" w:rsidRPr="00AD271D" w:rsidRDefault="00B2151F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</w:tr>
      <w:tr w:rsidR="00AD271D" w:rsidRPr="00AD271D" w14:paraId="453CCEEE" w14:textId="77777777" w:rsidTr="0078715C">
        <w:trPr>
          <w:trHeight w:val="330"/>
        </w:trPr>
        <w:tc>
          <w:tcPr>
            <w:tcW w:w="10639" w:type="dxa"/>
            <w:gridSpan w:val="7"/>
            <w:tcBorders>
              <w:top w:val="single" w:sz="12" w:space="0" w:color="000000"/>
              <w:left w:val="single" w:sz="8" w:space="0" w:color="D9D9D9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1553A710" w14:textId="098A8D0F" w:rsidR="00AD271D" w:rsidRPr="00AD271D" w:rsidRDefault="00AD271D" w:rsidP="00AD271D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Reform of Veterans’ Compensation Legislation</w:t>
            </w:r>
            <w:r w:rsidR="00554817"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  <w:szCs w:val="21"/>
              </w:rPr>
              <w:footnoteReference w:id="5"/>
            </w:r>
            <w:r w:rsidR="00554817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 xml:space="preserve"> </w:t>
            </w:r>
            <w:r w:rsidR="00554817"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  <w:szCs w:val="21"/>
              </w:rPr>
              <w:footnoteReference w:id="6"/>
            </w:r>
          </w:p>
        </w:tc>
      </w:tr>
      <w:tr w:rsidR="00B2151F" w:rsidRPr="00AD271D" w14:paraId="6A3108A1" w14:textId="77777777" w:rsidTr="0078715C">
        <w:trPr>
          <w:trHeight w:val="330"/>
        </w:trPr>
        <w:tc>
          <w:tcPr>
            <w:tcW w:w="6086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48DB4A31" w14:textId="77777777" w:rsidR="00B2151F" w:rsidRPr="00AD271D" w:rsidRDefault="00B2151F" w:rsidP="00B2151F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DVA funding</w:t>
            </w:r>
          </w:p>
        </w:tc>
        <w:tc>
          <w:tcPr>
            <w:tcW w:w="91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hideMark/>
          </w:tcPr>
          <w:p w14:paraId="1FBA0974" w14:textId="1B9E0EAB" w:rsidR="00B2151F" w:rsidRPr="00AD271D" w:rsidRDefault="00B2151F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6F0387"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3F095DD7" w14:textId="1836635D" w:rsidR="00B2151F" w:rsidRPr="00AD271D" w:rsidRDefault="00AB6716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(</w:t>
            </w:r>
            <w:r w:rsidR="00B2151F" w:rsidRPr="00AD271D">
              <w:rPr>
                <w:rFonts w:ascii="Calibri" w:eastAsia="Times New Roman" w:hAnsi="Calibri" w:cs="Calibri"/>
                <w:color w:val="000000"/>
                <w:szCs w:val="21"/>
              </w:rPr>
              <w:t>980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>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6561CB82" w14:textId="0D1A64DC" w:rsidR="00B2151F" w:rsidRPr="00AD271D" w:rsidRDefault="00AB6716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(</w:t>
            </w:r>
            <w:r w:rsidR="00B2151F" w:rsidRPr="00AD271D">
              <w:rPr>
                <w:rFonts w:ascii="Calibri" w:eastAsia="Times New Roman" w:hAnsi="Calibri" w:cs="Calibri"/>
                <w:color w:val="000000"/>
                <w:szCs w:val="21"/>
              </w:rPr>
              <w:t>1,687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>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73C92239" w14:textId="77777777" w:rsidR="00B2151F" w:rsidRPr="00AD271D" w:rsidRDefault="00B2151F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114,464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0632E969" w14:textId="77777777" w:rsidR="00B2151F" w:rsidRPr="00AD271D" w:rsidRDefault="00B2151F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102,118</w:t>
            </w:r>
          </w:p>
        </w:tc>
      </w:tr>
      <w:tr w:rsidR="00B2151F" w:rsidRPr="00AD271D" w14:paraId="18A8B320" w14:textId="77777777" w:rsidTr="0078715C">
        <w:trPr>
          <w:trHeight w:val="315"/>
        </w:trPr>
        <w:tc>
          <w:tcPr>
            <w:tcW w:w="6086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7624FE1F" w14:textId="77777777" w:rsidR="00B2151F" w:rsidRPr="00AD271D" w:rsidRDefault="00B2151F" w:rsidP="00B2151F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Department of Health and Aged Care funding</w:t>
            </w:r>
          </w:p>
        </w:tc>
        <w:tc>
          <w:tcPr>
            <w:tcW w:w="91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hideMark/>
          </w:tcPr>
          <w:p w14:paraId="0435F236" w14:textId="7C7FE557" w:rsidR="00B2151F" w:rsidRPr="00AD271D" w:rsidRDefault="00B2151F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6F0387"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hideMark/>
          </w:tcPr>
          <w:p w14:paraId="2499BA57" w14:textId="1280F5E1" w:rsidR="00B2151F" w:rsidRPr="00AD271D" w:rsidRDefault="00B2151F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391C16"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hideMark/>
          </w:tcPr>
          <w:p w14:paraId="388E6257" w14:textId="320E106B" w:rsidR="00B2151F" w:rsidRPr="00AD271D" w:rsidRDefault="00B2151F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391C16"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495F6910" w14:textId="3084AA1E" w:rsidR="00B2151F" w:rsidRPr="00AD271D" w:rsidRDefault="00AB6716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(</w:t>
            </w:r>
            <w:r w:rsidR="00B2151F" w:rsidRPr="00AD271D">
              <w:rPr>
                <w:rFonts w:ascii="Calibri" w:eastAsia="Times New Roman" w:hAnsi="Calibri" w:cs="Calibri"/>
                <w:color w:val="000000"/>
                <w:szCs w:val="21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>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6C4E7343" w14:textId="77777777" w:rsidR="00B2151F" w:rsidRPr="00AD271D" w:rsidRDefault="00B2151F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16</w:t>
            </w:r>
          </w:p>
        </w:tc>
      </w:tr>
      <w:tr w:rsidR="00B2151F" w:rsidRPr="00AD271D" w14:paraId="74781462" w14:textId="77777777" w:rsidTr="0078715C">
        <w:trPr>
          <w:trHeight w:val="315"/>
        </w:trPr>
        <w:tc>
          <w:tcPr>
            <w:tcW w:w="6086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1AEC87C0" w14:textId="77777777" w:rsidR="00B2151F" w:rsidRPr="00AD271D" w:rsidRDefault="00B2151F" w:rsidP="00B2151F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Department of Social Services funding</w:t>
            </w:r>
          </w:p>
        </w:tc>
        <w:tc>
          <w:tcPr>
            <w:tcW w:w="91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hideMark/>
          </w:tcPr>
          <w:p w14:paraId="7F20A245" w14:textId="5A41B40C" w:rsidR="00B2151F" w:rsidRPr="00AD271D" w:rsidRDefault="00B2151F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6F0387"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hideMark/>
          </w:tcPr>
          <w:p w14:paraId="21FE22E2" w14:textId="65F54BA6" w:rsidR="00B2151F" w:rsidRPr="00AD271D" w:rsidRDefault="00B2151F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391C16"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hideMark/>
          </w:tcPr>
          <w:p w14:paraId="2D8D0EA5" w14:textId="59B42854" w:rsidR="00B2151F" w:rsidRPr="00AD271D" w:rsidRDefault="00B2151F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391C16"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1777A1EA" w14:textId="637C6010" w:rsidR="00B2151F" w:rsidRPr="00AD271D" w:rsidRDefault="00AB6716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(</w:t>
            </w:r>
            <w:r w:rsidR="00B2151F" w:rsidRPr="00AD271D">
              <w:rPr>
                <w:rFonts w:ascii="Calibri" w:eastAsia="Times New Roman" w:hAnsi="Calibri" w:cs="Calibri"/>
                <w:color w:val="000000"/>
                <w:szCs w:val="21"/>
              </w:rPr>
              <w:t>816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>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638B5CE8" w14:textId="419CA775" w:rsidR="00B2151F" w:rsidRPr="00AD271D" w:rsidRDefault="00AB6716" w:rsidP="00B2151F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(</w:t>
            </w:r>
            <w:r w:rsidR="00B2151F" w:rsidRPr="00AD271D">
              <w:rPr>
                <w:rFonts w:ascii="Calibri" w:eastAsia="Times New Roman" w:hAnsi="Calibri" w:cs="Calibri"/>
                <w:color w:val="000000"/>
                <w:szCs w:val="21"/>
              </w:rPr>
              <w:t>1,713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>)</w:t>
            </w:r>
          </w:p>
        </w:tc>
      </w:tr>
      <w:tr w:rsidR="00AD271D" w:rsidRPr="00AD271D" w14:paraId="5B78CA36" w14:textId="77777777" w:rsidTr="0078715C">
        <w:trPr>
          <w:trHeight w:val="315"/>
        </w:trPr>
        <w:tc>
          <w:tcPr>
            <w:tcW w:w="6086" w:type="dxa"/>
            <w:gridSpan w:val="2"/>
            <w:tcBorders>
              <w:top w:val="single" w:sz="8" w:space="0" w:color="D9D9D9"/>
              <w:left w:val="nil"/>
              <w:bottom w:val="single" w:sz="12" w:space="0" w:color="000000"/>
              <w:right w:val="single" w:sz="8" w:space="0" w:color="D9D9D9"/>
            </w:tcBorders>
            <w:shd w:val="clear" w:color="000000" w:fill="ABD592"/>
            <w:vAlign w:val="center"/>
            <w:hideMark/>
          </w:tcPr>
          <w:p w14:paraId="3DB2E737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Total funding for the measure</w:t>
            </w:r>
          </w:p>
        </w:tc>
        <w:tc>
          <w:tcPr>
            <w:tcW w:w="917" w:type="dxa"/>
            <w:tcBorders>
              <w:top w:val="nil"/>
              <w:left w:val="single" w:sz="8" w:space="0" w:color="D9D9D9"/>
              <w:bottom w:val="single" w:sz="12" w:space="0" w:color="000000"/>
              <w:right w:val="nil"/>
            </w:tcBorders>
            <w:shd w:val="clear" w:color="000000" w:fill="ABD592"/>
            <w:vAlign w:val="center"/>
            <w:hideMark/>
          </w:tcPr>
          <w:p w14:paraId="135D0D50" w14:textId="01F38CBC" w:rsidR="00AD271D" w:rsidRPr="00AD271D" w:rsidRDefault="00B2151F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ABD592"/>
            <w:vAlign w:val="center"/>
            <w:hideMark/>
          </w:tcPr>
          <w:p w14:paraId="73D471DA" w14:textId="3D221D31" w:rsidR="00AD271D" w:rsidRPr="00AD271D" w:rsidRDefault="00AB6716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(</w:t>
            </w:r>
            <w:r w:rsidR="00AD271D"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980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ABD592"/>
            <w:vAlign w:val="center"/>
            <w:hideMark/>
          </w:tcPr>
          <w:p w14:paraId="3820B673" w14:textId="0DD6DDB0" w:rsidR="00AD271D" w:rsidRPr="00AD271D" w:rsidRDefault="00AB6716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(</w:t>
            </w:r>
            <w:r w:rsidR="00AD271D"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1,687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ABD592"/>
            <w:vAlign w:val="center"/>
            <w:hideMark/>
          </w:tcPr>
          <w:p w14:paraId="5A04362A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113,641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ABD592"/>
            <w:vAlign w:val="center"/>
            <w:hideMark/>
          </w:tcPr>
          <w:p w14:paraId="6E9EC1AC" w14:textId="77777777" w:rsidR="00AD271D" w:rsidRPr="00AD271D" w:rsidRDefault="00AD271D" w:rsidP="00AD271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100,421</w:t>
            </w:r>
          </w:p>
        </w:tc>
      </w:tr>
    </w:tbl>
    <w:p w14:paraId="2DF6041C" w14:textId="45DF0E45" w:rsidR="00654D6A" w:rsidRPr="00DC25E7" w:rsidRDefault="00654D6A" w:rsidP="00DC25E7">
      <w:pPr>
        <w:spacing w:line="240" w:lineRule="auto"/>
        <w:rPr>
          <w:rFonts w:ascii="Calibri" w:eastAsia="Times New Roman" w:hAnsi="Calibri" w:cs="Calibri"/>
          <w:i/>
          <w:iCs/>
          <w:color w:val="000000"/>
          <w:szCs w:val="21"/>
        </w:rPr>
      </w:pPr>
      <w:r w:rsidRPr="00DC25E7">
        <w:rPr>
          <w:rFonts w:ascii="Calibri" w:eastAsia="Times New Roman" w:hAnsi="Calibri" w:cs="Calibri"/>
          <w:i/>
          <w:iCs/>
          <w:color w:val="000000"/>
          <w:szCs w:val="21"/>
        </w:rPr>
        <w:t xml:space="preserve">The Australian War Memorial (AWM) will receive $8.0 million additional funding in 2024-25 for the </w:t>
      </w:r>
      <w:r w:rsidRPr="00AF1E29">
        <w:rPr>
          <w:rFonts w:ascii="Calibri" w:eastAsia="Times New Roman" w:hAnsi="Calibri" w:cs="Calibri"/>
          <w:b/>
          <w:bCs/>
          <w:i/>
          <w:iCs/>
          <w:color w:val="000000"/>
          <w:szCs w:val="21"/>
        </w:rPr>
        <w:t>Australian War Memorial – financial sustainability</w:t>
      </w:r>
      <w:r w:rsidRPr="00DC25E7">
        <w:rPr>
          <w:rFonts w:ascii="Calibri" w:eastAsia="Times New Roman" w:hAnsi="Calibri" w:cs="Calibri"/>
          <w:i/>
          <w:iCs/>
          <w:color w:val="000000"/>
          <w:szCs w:val="21"/>
        </w:rPr>
        <w:t xml:space="preserve"> measure, attributed to AWM program 1.1 – Australian War Memorial</w:t>
      </w:r>
    </w:p>
    <w:p w14:paraId="5BAFC7A4" w14:textId="77777777" w:rsidR="00654D6A" w:rsidRPr="00AD271D" w:rsidRDefault="00654D6A" w:rsidP="003264F0">
      <w:pPr>
        <w:spacing w:before="0" w:line="240" w:lineRule="auto"/>
        <w:rPr>
          <w:rFonts w:ascii="Calibri" w:eastAsia="Times New Roman" w:hAnsi="Calibri" w:cs="Calibri"/>
          <w:color w:val="000000"/>
          <w:szCs w:val="21"/>
        </w:rPr>
      </w:pPr>
    </w:p>
    <w:p w14:paraId="1C62A466" w14:textId="77777777" w:rsidR="00BF0354" w:rsidRPr="005659AD" w:rsidRDefault="00BF0354" w:rsidP="0066551D">
      <w:pPr>
        <w:rPr>
          <w:rFonts w:ascii="Arial Narrow" w:hAnsi="Arial Narrow"/>
          <w:sz w:val="22"/>
          <w:szCs w:val="22"/>
        </w:rPr>
      </w:pPr>
    </w:p>
    <w:sectPr w:rsidR="00BF0354" w:rsidRPr="005659AD" w:rsidSect="008977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567" w:bottom="0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EF174" w14:textId="77777777" w:rsidR="00993DD7" w:rsidRDefault="00993DD7" w:rsidP="00F77677">
      <w:pPr>
        <w:spacing w:before="0" w:line="240" w:lineRule="auto"/>
      </w:pPr>
      <w:r>
        <w:separator/>
      </w:r>
    </w:p>
  </w:endnote>
  <w:endnote w:type="continuationSeparator" w:id="0">
    <w:p w14:paraId="3251D055" w14:textId="77777777" w:rsidR="00993DD7" w:rsidRDefault="00993DD7" w:rsidP="00F776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EC66C" w14:textId="777E4E9F" w:rsidR="00BF738B" w:rsidRDefault="00BF738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1" layoutInCell="0" allowOverlap="1" wp14:anchorId="439B2039" wp14:editId="5AD0F40E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94640"/>
              <wp:effectExtent l="0" t="0" r="0" b="0"/>
              <wp:wrapNone/>
              <wp:docPr id="9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94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18B4F4" w14:textId="007BC2E9" w:rsidR="00BF738B" w:rsidRPr="00BF738B" w:rsidRDefault="00BF738B" w:rsidP="00BF738B">
                          <w:pPr>
                            <w:spacing w:before="0"/>
                            <w:jc w:val="center"/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6B6DFD">
                            <w:rPr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39B2039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9" type="#_x0000_t202" style="position:absolute;margin-left:0;margin-top:0;width:70.25pt;height:23.2pt;z-index:251671552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" o:allowincell="f" filled="f" stroked="f" strokeweight=".5pt">
              <v:textbox style="mso-fit-shape-to-text:t">
                <w:txbxContent>
                  <w:p w14:paraId="4D18B4F4" w14:textId="007BC2E9" w:rsidR="00BF738B" w:rsidRPr="00BF738B" w:rsidRDefault="00BF738B" w:rsidP="00BF738B">
                    <w:pPr>
                      <w:spacing w:before="0"/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begin"/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6B6DFD">
                      <w:rPr>
                        <w:b/>
                        <w:color w:val="FF0000"/>
                        <w:sz w:val="24"/>
                      </w:rPr>
                      <w:t>OFFICIAL</w:t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2ADC7" w14:textId="5B7C020D" w:rsidR="00147832" w:rsidRPr="004679F8" w:rsidRDefault="00147832" w:rsidP="00B626DE">
    <w:pPr>
      <w:pStyle w:val="Footer"/>
      <w:tabs>
        <w:tab w:val="right" w:pos="8222"/>
      </w:tabs>
      <w:rPr>
        <w:rFonts w:ascii="Nirmala UI Semilight" w:hAnsi="Nirmala UI Semilight" w:cs="Nirmala UI Semilight"/>
        <w:b/>
        <w:color w:val="939F98"/>
        <w:sz w:val="2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2D518" w14:textId="4D9A5C87" w:rsidR="00BF738B" w:rsidRDefault="00BF738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0" allowOverlap="1" wp14:anchorId="35DC7F29" wp14:editId="069579A8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94640"/>
              <wp:effectExtent l="0" t="0" r="0" b="0"/>
              <wp:wrapNone/>
              <wp:docPr id="8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94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971B5A" w14:textId="1C8B4758" w:rsidR="00BF738B" w:rsidRPr="00BF738B" w:rsidRDefault="00BF738B" w:rsidP="00BF738B">
                          <w:pPr>
                            <w:spacing w:before="0"/>
                            <w:jc w:val="center"/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6B6DFD">
                            <w:rPr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5DC7F29" id="_x0000_t202" coordsize="21600,21600" o:spt="202" path="m,l,21600r21600,l21600,xe">
              <v:stroke joinstyle="miter"/>
              <v:path gradientshapeok="t" o:connecttype="rect"/>
            </v:shapetype>
            <v:shape id="janusSEAL SC F_FirstPage" o:spid="_x0000_s1032" type="#_x0000_t202" style="position:absolute;margin-left:0;margin-top:0;width:70.25pt;height:23.2pt;z-index:251670528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" o:allowincell="f" filled="f" stroked="f" strokeweight=".5pt">
              <v:textbox style="mso-fit-shape-to-text:t">
                <w:txbxContent>
                  <w:p w14:paraId="2E971B5A" w14:textId="1C8B4758" w:rsidR="00BF738B" w:rsidRPr="00BF738B" w:rsidRDefault="00BF738B" w:rsidP="00BF738B">
                    <w:pPr>
                      <w:spacing w:before="0"/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begin"/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6B6DFD">
                      <w:rPr>
                        <w:b/>
                        <w:color w:val="FF0000"/>
                        <w:sz w:val="24"/>
                      </w:rPr>
                      <w:t>OFFICIAL</w:t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5240A" w14:textId="77777777" w:rsidR="00993DD7" w:rsidRDefault="00993DD7" w:rsidP="00F77677">
      <w:pPr>
        <w:spacing w:before="0" w:line="240" w:lineRule="auto"/>
      </w:pPr>
      <w:r>
        <w:separator/>
      </w:r>
    </w:p>
  </w:footnote>
  <w:footnote w:type="continuationSeparator" w:id="0">
    <w:p w14:paraId="59F4C48E" w14:textId="77777777" w:rsidR="00993DD7" w:rsidRDefault="00993DD7" w:rsidP="00F77677">
      <w:pPr>
        <w:spacing w:before="0" w:line="240" w:lineRule="auto"/>
      </w:pPr>
      <w:r>
        <w:continuationSeparator/>
      </w:r>
    </w:p>
  </w:footnote>
  <w:footnote w:id="1">
    <w:p w14:paraId="5559C9EE" w14:textId="53FBFE56" w:rsidR="00C5070B" w:rsidRPr="00C5070B" w:rsidRDefault="00C5070B" w:rsidP="00C5070B">
      <w:pPr>
        <w:spacing w:before="0" w:line="240" w:lineRule="auto"/>
        <w:rPr>
          <w:rFonts w:ascii="Calibri" w:eastAsia="Times New Roman" w:hAnsi="Calibri" w:cs="Calibri"/>
          <w:i/>
          <w:iCs/>
          <w:color w:val="000000"/>
          <w:szCs w:val="21"/>
        </w:rPr>
      </w:pPr>
      <w:r>
        <w:rPr>
          <w:rStyle w:val="FootnoteReference"/>
        </w:rPr>
        <w:footnoteRef/>
      </w:r>
      <w:r>
        <w:t xml:space="preserve"> </w:t>
      </w:r>
      <w:r w:rsidRPr="00C5070B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This measure includes $0.7 million in 2024-25, to be met from within the existing resources of DVA</w:t>
      </w:r>
    </w:p>
  </w:footnote>
  <w:footnote w:id="2">
    <w:p w14:paraId="44218FB6" w14:textId="34959909" w:rsidR="00C5070B" w:rsidRDefault="00C507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070B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This measure includes $0.1 million in 2024-25, to be met from within the existing resources of DVA</w:t>
      </w:r>
      <w:r w:rsidRPr="00DC25E7">
        <w:rPr>
          <w:rFonts w:ascii="Calibri" w:eastAsia="Times New Roman" w:hAnsi="Calibri" w:cs="Calibri"/>
          <w:i/>
          <w:iCs/>
          <w:color w:val="000000"/>
          <w:szCs w:val="21"/>
        </w:rPr>
        <w:t> </w:t>
      </w:r>
    </w:p>
  </w:footnote>
  <w:footnote w:id="3">
    <w:p w14:paraId="530C285A" w14:textId="74F5D904" w:rsidR="00C5070B" w:rsidRPr="00C5070B" w:rsidRDefault="00C5070B" w:rsidP="00C5070B">
      <w:pPr>
        <w:spacing w:before="0" w:line="240" w:lineRule="auto"/>
        <w:rPr>
          <w:rFonts w:ascii="Calibri" w:eastAsia="Times New Roman" w:hAnsi="Calibri" w:cs="Calibri"/>
          <w:i/>
          <w:iCs/>
          <w:color w:val="000000"/>
          <w:szCs w:val="21"/>
        </w:rPr>
      </w:pPr>
      <w:r>
        <w:rPr>
          <w:rStyle w:val="FootnoteReference"/>
        </w:rPr>
        <w:footnoteRef/>
      </w:r>
      <w:r>
        <w:t xml:space="preserve"> </w:t>
      </w:r>
      <w:r w:rsidRPr="00C5070B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This measure includes $0.4 million over three years from 2024-25, to be met from within the existing resources of DVA</w:t>
      </w:r>
    </w:p>
  </w:footnote>
  <w:footnote w:id="4">
    <w:p w14:paraId="32F987F2" w14:textId="77868CC8" w:rsidR="00C5070B" w:rsidRDefault="00C507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070B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This measure includes $3.1 million in 2024-25, to be met from within the existing resources of DVA</w:t>
      </w:r>
    </w:p>
  </w:footnote>
  <w:footnote w:id="5">
    <w:p w14:paraId="7C31222D" w14:textId="37DC1040" w:rsidR="00554817" w:rsidRDefault="005548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54817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This measure includes $0.8 million over four years from 2024-25, to be met from within the existing resources of DVA</w:t>
      </w:r>
    </w:p>
  </w:footnote>
  <w:footnote w:id="6">
    <w:p w14:paraId="23522B1A" w14:textId="45F6184C" w:rsidR="00554817" w:rsidRDefault="005548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54817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2024-25 Budget Paper No. 2 notes that ‘The Government will provide $222.0 million over four years from 2024-25’, which excludes $7.3 million in savings for the DRCA Single Review Pathway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36CAF" w14:textId="38814992" w:rsidR="00BF738B" w:rsidRDefault="00BF73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0" allowOverlap="1" wp14:anchorId="52F04978" wp14:editId="4395AD6D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94640"/>
              <wp:effectExtent l="0" t="0" r="0" b="0"/>
              <wp:wrapNone/>
              <wp:docPr id="6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94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615CF2" w14:textId="4C209F0D" w:rsidR="00BF738B" w:rsidRPr="00BF738B" w:rsidRDefault="00BF738B" w:rsidP="00BF738B">
                          <w:pPr>
                            <w:spacing w:before="0"/>
                            <w:jc w:val="center"/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6B6DFD">
                            <w:rPr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2F04978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0;width:70.25pt;height:23.2pt;z-index:25166848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" o:allowincell="f" filled="f" stroked="f" strokeweight=".5pt">
              <v:textbox style="mso-fit-shape-to-text:t">
                <w:txbxContent>
                  <w:p w14:paraId="7F615CF2" w14:textId="4C209F0D" w:rsidR="00BF738B" w:rsidRPr="00BF738B" w:rsidRDefault="00BF738B" w:rsidP="00BF738B">
                    <w:pPr>
                      <w:spacing w:before="0"/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begin"/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6B6DFD">
                      <w:rPr>
                        <w:b/>
                        <w:color w:val="FF0000"/>
                        <w:sz w:val="24"/>
                      </w:rPr>
                      <w:t>OFFICIAL</w:t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A35D5" w14:textId="0FDC4089" w:rsidR="00147832" w:rsidRDefault="002011AC" w:rsidP="00F77677">
    <w:pPr>
      <w:pStyle w:val="Header"/>
      <w:tabs>
        <w:tab w:val="clear" w:pos="9026"/>
      </w:tabs>
    </w:pPr>
    <w:r>
      <w:rPr>
        <w:rFonts w:asciiTheme="minorHAnsi" w:hAnsiTheme="minorHAnsi" w:cs="Nirmala UI Semilight"/>
        <w:b/>
        <w:noProof/>
        <w:color w:val="939F98"/>
        <w:sz w:val="40"/>
        <w:szCs w:val="40"/>
      </w:rPr>
      <w:drawing>
        <wp:anchor distT="0" distB="0" distL="114300" distR="114300" simplePos="0" relativeHeight="251665408" behindDoc="0" locked="0" layoutInCell="1" allowOverlap="1" wp14:anchorId="71179198" wp14:editId="0FA492ED">
          <wp:simplePos x="0" y="0"/>
          <wp:positionH relativeFrom="column">
            <wp:posOffset>5976258</wp:posOffset>
          </wp:positionH>
          <wp:positionV relativeFrom="paragraph">
            <wp:posOffset>-134529</wp:posOffset>
          </wp:positionV>
          <wp:extent cx="754834" cy="76209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udget_2023-24_stacke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34" cy="762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4B43" w:rsidRPr="000965A3">
      <w:rPr>
        <w:rFonts w:asciiTheme="minorHAnsi" w:hAnsiTheme="minorHAnsi" w:cs="Nirmala UI Semilight"/>
        <w:b/>
        <w:noProof/>
        <w:color w:val="939F98"/>
        <w:sz w:val="40"/>
        <w:szCs w:val="40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26FAA792" wp14:editId="78FB4BBA">
              <wp:simplePos x="0" y="0"/>
              <wp:positionH relativeFrom="column">
                <wp:posOffset>2834528</wp:posOffset>
              </wp:positionH>
              <wp:positionV relativeFrom="paragraph">
                <wp:posOffset>-86995</wp:posOffset>
              </wp:positionV>
              <wp:extent cx="3016250" cy="779929"/>
              <wp:effectExtent l="0" t="0" r="1905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6250" cy="7799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B9C29" w14:textId="77777777" w:rsidR="000965A3" w:rsidRDefault="000965A3" w:rsidP="00157D1A">
                          <w:pPr>
                            <w:pBdr>
                              <w:right w:val="single" w:sz="4" w:space="4" w:color="auto"/>
                            </w:pBdr>
                            <w:spacing w:before="0" w:line="276" w:lineRule="auto"/>
                            <w:jc w:val="right"/>
                            <w:rPr>
                              <w:rFonts w:ascii="Rockwell" w:hAnsi="Rockwell"/>
                              <w:sz w:val="52"/>
                            </w:rPr>
                          </w:pPr>
                          <w:r w:rsidRPr="000965A3">
                            <w:rPr>
                              <w:rFonts w:ascii="Rockwell" w:hAnsi="Rockwell"/>
                              <w:sz w:val="52"/>
                            </w:rPr>
                            <w:t>Budget at a glance</w:t>
                          </w:r>
                        </w:p>
                        <w:p w14:paraId="3462ACAF" w14:textId="77777777" w:rsidR="000965A3" w:rsidRPr="000965A3" w:rsidRDefault="00157D1A" w:rsidP="00157D1A">
                          <w:pPr>
                            <w:pBdr>
                              <w:right w:val="single" w:sz="4" w:space="4" w:color="auto"/>
                            </w:pBdr>
                            <w:spacing w:before="0" w:line="276" w:lineRule="auto"/>
                            <w:jc w:val="right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157D1A">
                            <w:rPr>
                              <w:rFonts w:asciiTheme="minorHAnsi" w:hAnsiTheme="minorHAnsi"/>
                              <w:b/>
                              <w:sz w:val="22"/>
                            </w:rPr>
                            <w:t xml:space="preserve"> </w:t>
                          </w:r>
                          <w:r w:rsidR="000965A3" w:rsidRPr="000965A3">
                            <w:rPr>
                              <w:rFonts w:asciiTheme="minorHAnsi" w:hAnsiTheme="minorHAnsi"/>
                              <w:sz w:val="22"/>
                            </w:rPr>
                            <w:t>All figures in $’000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26FAA792" id="Text Box 2" o:spid="_x0000_s1028" type="#_x0000_t202" style="position:absolute;margin-left:223.2pt;margin-top:-6.85pt;width:237.5pt;height:61.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" strokecolor="white [3212]">
              <v:textbox>
                <w:txbxContent>
                  <w:p w14:paraId="2CBB9C29" w14:textId="77777777" w:rsidR="000965A3" w:rsidRDefault="000965A3" w:rsidP="00157D1A">
                    <w:pPr>
                      <w:pBdr>
                        <w:right w:val="single" w:sz="4" w:space="4" w:color="auto"/>
                      </w:pBdr>
                      <w:spacing w:before="0" w:line="276" w:lineRule="auto"/>
                      <w:jc w:val="right"/>
                      <w:rPr>
                        <w:rFonts w:ascii="Rockwell" w:hAnsi="Rockwell"/>
                        <w:sz w:val="52"/>
                      </w:rPr>
                    </w:pPr>
                    <w:r w:rsidRPr="000965A3">
                      <w:rPr>
                        <w:rFonts w:ascii="Rockwell" w:hAnsi="Rockwell"/>
                        <w:sz w:val="52"/>
                      </w:rPr>
                      <w:t>Budget at a glance</w:t>
                    </w:r>
                  </w:p>
                  <w:p w14:paraId="3462ACAF" w14:textId="77777777" w:rsidR="000965A3" w:rsidRPr="000965A3" w:rsidRDefault="00157D1A" w:rsidP="00157D1A">
                    <w:pPr>
                      <w:pBdr>
                        <w:right w:val="single" w:sz="4" w:space="4" w:color="auto"/>
                      </w:pBdr>
                      <w:spacing w:before="0" w:line="276" w:lineRule="auto"/>
                      <w:jc w:val="right"/>
                      <w:rPr>
                        <w:rFonts w:asciiTheme="minorHAnsi" w:hAnsiTheme="minorHAnsi"/>
                        <w:sz w:val="22"/>
                      </w:rPr>
                    </w:pPr>
                    <w:r w:rsidRPr="00157D1A">
                      <w:rPr>
                        <w:rFonts w:asciiTheme="minorHAnsi" w:hAnsiTheme="minorHAnsi"/>
                        <w:b/>
                        <w:sz w:val="22"/>
                      </w:rPr>
                      <w:t xml:space="preserve"> </w:t>
                    </w:r>
                    <w:r w:rsidR="000965A3" w:rsidRPr="000965A3">
                      <w:rPr>
                        <w:rFonts w:asciiTheme="minorHAnsi" w:hAnsiTheme="minorHAnsi"/>
                        <w:sz w:val="22"/>
                      </w:rPr>
                      <w:t>All figures in $’000</w:t>
                    </w:r>
                  </w:p>
                </w:txbxContent>
              </v:textbox>
            </v:shape>
          </w:pict>
        </mc:Fallback>
      </mc:AlternateContent>
    </w:r>
    <w:r w:rsidR="00CF4B43" w:rsidRPr="004679F8">
      <w:rPr>
        <w:noProof/>
      </w:rPr>
      <w:drawing>
        <wp:anchor distT="0" distB="0" distL="114300" distR="114300" simplePos="0" relativeHeight="251661312" behindDoc="0" locked="0" layoutInCell="1" allowOverlap="1" wp14:anchorId="5B95078B" wp14:editId="7F4F4BC4">
          <wp:simplePos x="0" y="0"/>
          <wp:positionH relativeFrom="margin">
            <wp:posOffset>79188</wp:posOffset>
          </wp:positionH>
          <wp:positionV relativeFrom="paragraph">
            <wp:posOffset>20432</wp:posOffset>
          </wp:positionV>
          <wp:extent cx="2232212" cy="471719"/>
          <wp:effectExtent l="0" t="0" r="3175" b="0"/>
          <wp:wrapNone/>
          <wp:docPr id="3" name="Picture 3" descr="R:\NAT\TAESFASD\EPECOMMSB\Strat-Comms\05 SUPPORT\Logos\DVA logos\DVA_inline black high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:\NAT\TAESFASD\EPECOMMSB\Strat-Comms\05 SUPPORT\Logos\DVA logos\DVA_inline black highre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622" cy="47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BED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1A8A1A" wp14:editId="3530D080">
              <wp:simplePos x="0" y="0"/>
              <wp:positionH relativeFrom="margin">
                <wp:posOffset>-182245</wp:posOffset>
              </wp:positionH>
              <wp:positionV relativeFrom="paragraph">
                <wp:posOffset>-244475</wp:posOffset>
              </wp:positionV>
              <wp:extent cx="7124700" cy="10248900"/>
              <wp:effectExtent l="0" t="0" r="19050" b="1905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4700" cy="102489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939F98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878A5B4" id="Rectangle 3" o:spid="_x0000_s1026" style="position:absolute;margin-left:-14.35pt;margin-top:-19.25pt;width:561pt;height:807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" filled="f" strokecolor="#939f98" strokeweight=".5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64564" w14:textId="53E07F34" w:rsidR="00BF738B" w:rsidRDefault="00BF73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1" layoutInCell="0" allowOverlap="1" wp14:anchorId="667CCF38" wp14:editId="3FC88703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94640"/>
              <wp:effectExtent l="0" t="0" r="0" b="0"/>
              <wp:wrapNone/>
              <wp:docPr id="4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94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978E87" w14:textId="0F646398" w:rsidR="00BF738B" w:rsidRPr="00BF738B" w:rsidRDefault="00BF738B" w:rsidP="00BF738B">
                          <w:pPr>
                            <w:spacing w:before="0"/>
                            <w:jc w:val="center"/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6B6DFD">
                            <w:rPr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67CCF38" id="_x0000_t202" coordsize="21600,21600" o:spt="202" path="m,l,21600r21600,l21600,xe">
              <v:stroke joinstyle="miter"/>
              <v:path gradientshapeok="t" o:connecttype="rect"/>
            </v:shapetype>
            <v:shape id="janusSEAL SC H_FirstPage" o:spid="_x0000_s1031" type="#_x0000_t202" style="position:absolute;margin-left:0;margin-top:0;width:70.25pt;height:23.2pt;z-index:251667456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" o:allowincell="f" filled="f" stroked="f" strokeweight=".5pt">
              <v:textbox style="mso-fit-shape-to-text:t">
                <w:txbxContent>
                  <w:p w14:paraId="7F978E87" w14:textId="0F646398" w:rsidR="00BF738B" w:rsidRPr="00BF738B" w:rsidRDefault="00BF738B" w:rsidP="00BF738B">
                    <w:pPr>
                      <w:spacing w:before="0"/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begin"/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6B6DFD">
                      <w:rPr>
                        <w:b/>
                        <w:color w:val="FF0000"/>
                        <w:sz w:val="24"/>
                      </w:rPr>
                      <w:t>OFFICIAL</w:t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EE06D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CDEE4B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0194DF"/>
      </w:rPr>
    </w:lvl>
  </w:abstractNum>
  <w:abstractNum w:abstractNumId="2" w15:restartNumberingAfterBreak="0">
    <w:nsid w:val="FFFFFF89"/>
    <w:multiLevelType w:val="singleLevel"/>
    <w:tmpl w:val="DB7222C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73393"/>
      </w:rPr>
    </w:lvl>
  </w:abstractNum>
  <w:abstractNum w:abstractNumId="3" w15:restartNumberingAfterBreak="0">
    <w:nsid w:val="03D35675"/>
    <w:multiLevelType w:val="hybridMultilevel"/>
    <w:tmpl w:val="1986AEA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25BD1"/>
    <w:multiLevelType w:val="multilevel"/>
    <w:tmpl w:val="384E8C9C"/>
    <w:styleLink w:val="CABNETList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134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1701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2268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4">
      <w:start w:val="1"/>
      <w:numFmt w:val="decimal"/>
      <w:lvlText w:val="(%5)"/>
      <w:lvlJc w:val="left"/>
      <w:pPr>
        <w:tabs>
          <w:tab w:val="num" w:pos="567"/>
        </w:tabs>
        <w:ind w:left="2835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5">
      <w:start w:val="1"/>
      <w:numFmt w:val="none"/>
      <w:lvlText w:val="."/>
      <w:lvlJc w:val="left"/>
      <w:pPr>
        <w:tabs>
          <w:tab w:val="num" w:pos="567"/>
        </w:tabs>
        <w:ind w:left="3402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6">
      <w:start w:val="1"/>
      <w:numFmt w:val="none"/>
      <w:lvlText w:val="%7."/>
      <w:lvlJc w:val="left"/>
      <w:pPr>
        <w:tabs>
          <w:tab w:val="num" w:pos="567"/>
        </w:tabs>
        <w:ind w:left="3969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7">
      <w:start w:val="1"/>
      <w:numFmt w:val="none"/>
      <w:lvlText w:val="%8."/>
      <w:lvlJc w:val="left"/>
      <w:pPr>
        <w:tabs>
          <w:tab w:val="num" w:pos="567"/>
        </w:tabs>
        <w:ind w:left="4536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8">
      <w:start w:val="1"/>
      <w:numFmt w:val="none"/>
      <w:lvlText w:val="%9."/>
      <w:lvlJc w:val="left"/>
      <w:pPr>
        <w:tabs>
          <w:tab w:val="num" w:pos="567"/>
        </w:tabs>
        <w:ind w:left="5103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</w:abstractNum>
  <w:abstractNum w:abstractNumId="5" w15:restartNumberingAfterBreak="0">
    <w:nsid w:val="3F3A5CB5"/>
    <w:multiLevelType w:val="hybridMultilevel"/>
    <w:tmpl w:val="B6CE7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D3AF1"/>
    <w:multiLevelType w:val="hybridMultilevel"/>
    <w:tmpl w:val="EC24C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96494"/>
    <w:multiLevelType w:val="hybridMultilevel"/>
    <w:tmpl w:val="77EE7138"/>
    <w:lvl w:ilvl="0" w:tplc="B4720E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B4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B6D04"/>
    <w:multiLevelType w:val="hybridMultilevel"/>
    <w:tmpl w:val="EE62CF32"/>
    <w:lvl w:ilvl="0" w:tplc="6BD2AEBC">
      <w:start w:val="1"/>
      <w:numFmt w:val="bullet"/>
      <w:pStyle w:val="ListNumber2"/>
      <w:lvlText w:val=""/>
      <w:lvlJc w:val="left"/>
      <w:pPr>
        <w:ind w:left="720" w:hanging="360"/>
      </w:pPr>
      <w:rPr>
        <w:rFonts w:ascii="Symbol" w:hAnsi="Symbol" w:hint="default"/>
        <w:color w:val="5733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61AD3"/>
    <w:multiLevelType w:val="hybridMultilevel"/>
    <w:tmpl w:val="1C764E2C"/>
    <w:lvl w:ilvl="0" w:tplc="00923254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1478E"/>
    <w:multiLevelType w:val="multilevel"/>
    <w:tmpl w:val="384E8C9C"/>
    <w:numStyleLink w:val="CABNETList"/>
  </w:abstractNum>
  <w:abstractNum w:abstractNumId="11" w15:restartNumberingAfterBreak="0">
    <w:nsid w:val="6C5C5D63"/>
    <w:multiLevelType w:val="hybridMultilevel"/>
    <w:tmpl w:val="38741E80"/>
    <w:lvl w:ilvl="0" w:tplc="9258BD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39F9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6"/>
  </w:num>
  <w:num w:numId="12">
    <w:abstractNumId w:val="3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7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8B"/>
    <w:rsid w:val="00003743"/>
    <w:rsid w:val="00007109"/>
    <w:rsid w:val="00025B84"/>
    <w:rsid w:val="00031AD0"/>
    <w:rsid w:val="00045E75"/>
    <w:rsid w:val="00052B08"/>
    <w:rsid w:val="000554B5"/>
    <w:rsid w:val="00055B91"/>
    <w:rsid w:val="00056C2D"/>
    <w:rsid w:val="00067456"/>
    <w:rsid w:val="0008509E"/>
    <w:rsid w:val="00086608"/>
    <w:rsid w:val="000965A3"/>
    <w:rsid w:val="000A35FD"/>
    <w:rsid w:val="0010432B"/>
    <w:rsid w:val="00114A3C"/>
    <w:rsid w:val="001220F8"/>
    <w:rsid w:val="0013443A"/>
    <w:rsid w:val="00147832"/>
    <w:rsid w:val="0015260C"/>
    <w:rsid w:val="00157391"/>
    <w:rsid w:val="00157D1A"/>
    <w:rsid w:val="001763B7"/>
    <w:rsid w:val="0018786F"/>
    <w:rsid w:val="00195606"/>
    <w:rsid w:val="001B3443"/>
    <w:rsid w:val="001B5885"/>
    <w:rsid w:val="001B5A06"/>
    <w:rsid w:val="001B6D66"/>
    <w:rsid w:val="001B6FFF"/>
    <w:rsid w:val="001D095A"/>
    <w:rsid w:val="001F12B7"/>
    <w:rsid w:val="002011AC"/>
    <w:rsid w:val="00205D5E"/>
    <w:rsid w:val="00220AC1"/>
    <w:rsid w:val="002333BF"/>
    <w:rsid w:val="00241CA2"/>
    <w:rsid w:val="00243821"/>
    <w:rsid w:val="002A1448"/>
    <w:rsid w:val="002A573C"/>
    <w:rsid w:val="002B7EFD"/>
    <w:rsid w:val="002C6577"/>
    <w:rsid w:val="002F3AE3"/>
    <w:rsid w:val="002F3CB6"/>
    <w:rsid w:val="002F414F"/>
    <w:rsid w:val="0030786C"/>
    <w:rsid w:val="00317BC6"/>
    <w:rsid w:val="003264F0"/>
    <w:rsid w:val="00340614"/>
    <w:rsid w:val="00365EED"/>
    <w:rsid w:val="00380598"/>
    <w:rsid w:val="003878B6"/>
    <w:rsid w:val="003A2ABA"/>
    <w:rsid w:val="003D17F9"/>
    <w:rsid w:val="003D2B03"/>
    <w:rsid w:val="003D3032"/>
    <w:rsid w:val="003E7592"/>
    <w:rsid w:val="003F2B96"/>
    <w:rsid w:val="00404C87"/>
    <w:rsid w:val="00406198"/>
    <w:rsid w:val="00411564"/>
    <w:rsid w:val="00424B59"/>
    <w:rsid w:val="00440060"/>
    <w:rsid w:val="004679F8"/>
    <w:rsid w:val="004711F0"/>
    <w:rsid w:val="0047556B"/>
    <w:rsid w:val="00477F29"/>
    <w:rsid w:val="00486014"/>
    <w:rsid w:val="004867E2"/>
    <w:rsid w:val="004A3DB2"/>
    <w:rsid w:val="004B035B"/>
    <w:rsid w:val="004C7D33"/>
    <w:rsid w:val="004F119D"/>
    <w:rsid w:val="00502F47"/>
    <w:rsid w:val="00544DDF"/>
    <w:rsid w:val="00545812"/>
    <w:rsid w:val="0054606A"/>
    <w:rsid w:val="00551B8F"/>
    <w:rsid w:val="00554817"/>
    <w:rsid w:val="0056311E"/>
    <w:rsid w:val="005656AB"/>
    <w:rsid w:val="005659AD"/>
    <w:rsid w:val="00573DFF"/>
    <w:rsid w:val="0057624F"/>
    <w:rsid w:val="00591B5B"/>
    <w:rsid w:val="00591CAB"/>
    <w:rsid w:val="005A2007"/>
    <w:rsid w:val="005C755B"/>
    <w:rsid w:val="005D2A94"/>
    <w:rsid w:val="005E5F43"/>
    <w:rsid w:val="00600463"/>
    <w:rsid w:val="00633865"/>
    <w:rsid w:val="006359EB"/>
    <w:rsid w:val="00654D6A"/>
    <w:rsid w:val="00656763"/>
    <w:rsid w:val="0066551D"/>
    <w:rsid w:val="00675E85"/>
    <w:rsid w:val="00681280"/>
    <w:rsid w:val="006B0D5D"/>
    <w:rsid w:val="006B6DFD"/>
    <w:rsid w:val="006C6221"/>
    <w:rsid w:val="006D479A"/>
    <w:rsid w:val="006D4B5E"/>
    <w:rsid w:val="006F5DAB"/>
    <w:rsid w:val="00722162"/>
    <w:rsid w:val="00724B94"/>
    <w:rsid w:val="00753819"/>
    <w:rsid w:val="007548E3"/>
    <w:rsid w:val="0076123A"/>
    <w:rsid w:val="00786453"/>
    <w:rsid w:val="00786FC6"/>
    <w:rsid w:val="0078715C"/>
    <w:rsid w:val="00793040"/>
    <w:rsid w:val="007A0BF6"/>
    <w:rsid w:val="007A1470"/>
    <w:rsid w:val="007A71CB"/>
    <w:rsid w:val="007B1C7F"/>
    <w:rsid w:val="007D4BF9"/>
    <w:rsid w:val="007E4B1F"/>
    <w:rsid w:val="007F5653"/>
    <w:rsid w:val="00806931"/>
    <w:rsid w:val="00812EA3"/>
    <w:rsid w:val="008264EB"/>
    <w:rsid w:val="00843DEA"/>
    <w:rsid w:val="008455EE"/>
    <w:rsid w:val="008542DC"/>
    <w:rsid w:val="0087762F"/>
    <w:rsid w:val="00881CCB"/>
    <w:rsid w:val="00892E05"/>
    <w:rsid w:val="00897761"/>
    <w:rsid w:val="008E3C38"/>
    <w:rsid w:val="008F2E23"/>
    <w:rsid w:val="008F6DC0"/>
    <w:rsid w:val="00905865"/>
    <w:rsid w:val="0092734C"/>
    <w:rsid w:val="00941137"/>
    <w:rsid w:val="00942555"/>
    <w:rsid w:val="00942740"/>
    <w:rsid w:val="00971286"/>
    <w:rsid w:val="00976B19"/>
    <w:rsid w:val="00983B11"/>
    <w:rsid w:val="00993DD7"/>
    <w:rsid w:val="009A0884"/>
    <w:rsid w:val="009A1EC2"/>
    <w:rsid w:val="009B08A9"/>
    <w:rsid w:val="009C1A20"/>
    <w:rsid w:val="009D7D5E"/>
    <w:rsid w:val="00A07E69"/>
    <w:rsid w:val="00A10BED"/>
    <w:rsid w:val="00A1582F"/>
    <w:rsid w:val="00A15906"/>
    <w:rsid w:val="00A15F35"/>
    <w:rsid w:val="00A23DB9"/>
    <w:rsid w:val="00A36DF4"/>
    <w:rsid w:val="00A4512D"/>
    <w:rsid w:val="00A605A3"/>
    <w:rsid w:val="00A67564"/>
    <w:rsid w:val="00A705AF"/>
    <w:rsid w:val="00A73A04"/>
    <w:rsid w:val="00A964FB"/>
    <w:rsid w:val="00AB2DD7"/>
    <w:rsid w:val="00AB6201"/>
    <w:rsid w:val="00AB6716"/>
    <w:rsid w:val="00AD271D"/>
    <w:rsid w:val="00AF01EB"/>
    <w:rsid w:val="00AF1E29"/>
    <w:rsid w:val="00B06A4A"/>
    <w:rsid w:val="00B17399"/>
    <w:rsid w:val="00B2151F"/>
    <w:rsid w:val="00B42851"/>
    <w:rsid w:val="00B626DE"/>
    <w:rsid w:val="00B62D96"/>
    <w:rsid w:val="00B9278A"/>
    <w:rsid w:val="00BB1B5E"/>
    <w:rsid w:val="00BC6210"/>
    <w:rsid w:val="00BC7712"/>
    <w:rsid w:val="00BE05B5"/>
    <w:rsid w:val="00BE129B"/>
    <w:rsid w:val="00BE3343"/>
    <w:rsid w:val="00BF0354"/>
    <w:rsid w:val="00BF738B"/>
    <w:rsid w:val="00C004AE"/>
    <w:rsid w:val="00C00B4E"/>
    <w:rsid w:val="00C25900"/>
    <w:rsid w:val="00C327A0"/>
    <w:rsid w:val="00C45B36"/>
    <w:rsid w:val="00C5070B"/>
    <w:rsid w:val="00C52E32"/>
    <w:rsid w:val="00C56300"/>
    <w:rsid w:val="00C65279"/>
    <w:rsid w:val="00C816A2"/>
    <w:rsid w:val="00CB0960"/>
    <w:rsid w:val="00CB468E"/>
    <w:rsid w:val="00CB5B1A"/>
    <w:rsid w:val="00CD48C5"/>
    <w:rsid w:val="00CE3245"/>
    <w:rsid w:val="00CF2869"/>
    <w:rsid w:val="00CF4B43"/>
    <w:rsid w:val="00D0021B"/>
    <w:rsid w:val="00D04BAA"/>
    <w:rsid w:val="00D13B9A"/>
    <w:rsid w:val="00D142CB"/>
    <w:rsid w:val="00D239EC"/>
    <w:rsid w:val="00D4350B"/>
    <w:rsid w:val="00D63677"/>
    <w:rsid w:val="00D77E60"/>
    <w:rsid w:val="00DC1287"/>
    <w:rsid w:val="00DC25E7"/>
    <w:rsid w:val="00DD6EBA"/>
    <w:rsid w:val="00DE0E6E"/>
    <w:rsid w:val="00E35F81"/>
    <w:rsid w:val="00E44D41"/>
    <w:rsid w:val="00EA0752"/>
    <w:rsid w:val="00EC15D3"/>
    <w:rsid w:val="00EC1DBE"/>
    <w:rsid w:val="00EE09DC"/>
    <w:rsid w:val="00EE2EB7"/>
    <w:rsid w:val="00EF332A"/>
    <w:rsid w:val="00F00C61"/>
    <w:rsid w:val="00F060E0"/>
    <w:rsid w:val="00F21BF5"/>
    <w:rsid w:val="00F22071"/>
    <w:rsid w:val="00F2257D"/>
    <w:rsid w:val="00F25496"/>
    <w:rsid w:val="00F26F38"/>
    <w:rsid w:val="00F452DF"/>
    <w:rsid w:val="00F53CB5"/>
    <w:rsid w:val="00F55363"/>
    <w:rsid w:val="00F57D35"/>
    <w:rsid w:val="00F635DB"/>
    <w:rsid w:val="00F75F7A"/>
    <w:rsid w:val="00F77677"/>
    <w:rsid w:val="00F87F9A"/>
    <w:rsid w:val="00F93440"/>
    <w:rsid w:val="00FA1CD2"/>
    <w:rsid w:val="00FC2D96"/>
    <w:rsid w:val="00FE6D54"/>
    <w:rsid w:val="00FF04F3"/>
    <w:rsid w:val="00FF05AB"/>
    <w:rsid w:val="00FF1890"/>
    <w:rsid w:val="00FF29B9"/>
    <w:rsid w:val="00FF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693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Number" w:uiPriority="99" w:unhideWhenUsed="1" w:qFormat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E23"/>
    <w:pPr>
      <w:spacing w:before="120" w:line="270" w:lineRule="auto"/>
    </w:pPr>
    <w:rPr>
      <w:rFonts w:ascii="Arial" w:hAnsi="Arial"/>
      <w:sz w:val="21"/>
    </w:rPr>
  </w:style>
  <w:style w:type="paragraph" w:styleId="Heading1">
    <w:name w:val="heading 1"/>
    <w:next w:val="Normal"/>
    <w:link w:val="Heading1Char"/>
    <w:uiPriority w:val="9"/>
    <w:qFormat/>
    <w:rsid w:val="007A0BF6"/>
    <w:pPr>
      <w:keepNext/>
      <w:keepLines/>
      <w:spacing w:before="720" w:after="240"/>
      <w:outlineLvl w:val="0"/>
    </w:pPr>
    <w:rPr>
      <w:rFonts w:ascii="Arial" w:eastAsia="MS Gothic" w:hAnsi="Arial" w:cstheme="majorBidi"/>
      <w:color w:val="0194DF"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BF6"/>
    <w:pPr>
      <w:keepNext/>
      <w:keepLines/>
      <w:spacing w:before="240" w:after="120" w:line="280" w:lineRule="auto"/>
      <w:outlineLvl w:val="1"/>
    </w:pPr>
    <w:rPr>
      <w:rFonts w:eastAsia="MS Gothic"/>
      <w:b/>
      <w:bCs/>
      <w:color w:val="0194DF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DDF"/>
    <w:pPr>
      <w:keepNext/>
      <w:keepLines/>
      <w:spacing w:line="271" w:lineRule="auto"/>
      <w:outlineLvl w:val="2"/>
    </w:pPr>
    <w:rPr>
      <w:rFonts w:eastAsia="MS Gothic"/>
      <w:color w:val="573393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4DDF"/>
    <w:pPr>
      <w:keepNext/>
      <w:keepLines/>
      <w:outlineLvl w:val="3"/>
    </w:pPr>
    <w:rPr>
      <w:rFonts w:eastAsia="MS Gothic"/>
      <w:i/>
      <w:iCs/>
      <w:color w:val="573393"/>
      <w:sz w:val="22"/>
      <w:lang w:val="en-US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705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rFonts w:ascii="Arial" w:hAnsi="Arial"/>
      <w:sz w:val="21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8F2E2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77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767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F776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7767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776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77"/>
    <w:rPr>
      <w:sz w:val="24"/>
      <w:szCs w:val="24"/>
      <w:lang w:eastAsia="en-US"/>
    </w:rPr>
  </w:style>
  <w:style w:type="paragraph" w:customStyle="1" w:styleId="OHNotetextbold">
    <w:name w:val="O@H Note text bold"/>
    <w:basedOn w:val="Normal"/>
    <w:qFormat/>
    <w:rsid w:val="008F2E23"/>
    <w:pPr>
      <w:spacing w:before="0"/>
      <w:ind w:left="34"/>
    </w:pPr>
    <w:rPr>
      <w:rFonts w:ascii="Calibri" w:eastAsia="Times New Roman" w:hAnsi="Calibri" w:cs="Times New Roman"/>
      <w:b/>
      <w:noProof/>
      <w:color w:val="000000" w:themeColor="text1"/>
      <w:szCs w:val="20"/>
    </w:rPr>
  </w:style>
  <w:style w:type="paragraph" w:customStyle="1" w:styleId="IntroPara">
    <w:name w:val="Intro Para"/>
    <w:basedOn w:val="Normal"/>
    <w:qFormat/>
    <w:rsid w:val="008F2E23"/>
    <w:pPr>
      <w:spacing w:before="0" w:after="120" w:line="320" w:lineRule="auto"/>
    </w:pPr>
    <w:rPr>
      <w:sz w:val="23"/>
    </w:rPr>
  </w:style>
  <w:style w:type="character" w:customStyle="1" w:styleId="Heading1Char">
    <w:name w:val="Heading 1 Char"/>
    <w:basedOn w:val="DefaultParagraphFont"/>
    <w:link w:val="Heading1"/>
    <w:uiPriority w:val="9"/>
    <w:rsid w:val="007A0BF6"/>
    <w:rPr>
      <w:rFonts w:ascii="Arial" w:eastAsia="MS Gothic" w:hAnsi="Arial" w:cstheme="majorBidi"/>
      <w:color w:val="0194DF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A0BF6"/>
    <w:rPr>
      <w:rFonts w:ascii="Arial" w:eastAsia="MS Gothic" w:hAnsi="Arial"/>
      <w:b/>
      <w:bCs/>
      <w:color w:val="0194DF"/>
      <w:sz w:val="21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44DDF"/>
    <w:rPr>
      <w:rFonts w:ascii="Arial" w:eastAsia="MS Gothic" w:hAnsi="Arial"/>
      <w:color w:val="573393"/>
      <w:sz w:val="2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44DDF"/>
    <w:rPr>
      <w:rFonts w:ascii="Arial" w:eastAsia="MS Gothic" w:hAnsi="Arial"/>
      <w:i/>
      <w:iCs/>
      <w:color w:val="573393"/>
      <w:sz w:val="22"/>
      <w:lang w:val="en-US"/>
    </w:rPr>
  </w:style>
  <w:style w:type="paragraph" w:styleId="ListBullet">
    <w:name w:val="List Bullet"/>
    <w:basedOn w:val="Normal"/>
    <w:uiPriority w:val="99"/>
    <w:unhideWhenUsed/>
    <w:qFormat/>
    <w:rsid w:val="00544DDF"/>
    <w:pPr>
      <w:numPr>
        <w:numId w:val="2"/>
      </w:numPr>
      <w:contextualSpacing/>
    </w:pPr>
    <w:rPr>
      <w:szCs w:val="21"/>
    </w:rPr>
  </w:style>
  <w:style w:type="paragraph" w:styleId="ListNumber">
    <w:name w:val="List Number"/>
    <w:basedOn w:val="Normal"/>
    <w:uiPriority w:val="99"/>
    <w:unhideWhenUsed/>
    <w:qFormat/>
    <w:rsid w:val="00544DDF"/>
    <w:pPr>
      <w:numPr>
        <w:numId w:val="4"/>
      </w:numPr>
      <w:spacing w:after="120"/>
    </w:pPr>
  </w:style>
  <w:style w:type="paragraph" w:styleId="ListNumber2">
    <w:name w:val="List Number 2"/>
    <w:basedOn w:val="Normal"/>
    <w:uiPriority w:val="99"/>
    <w:unhideWhenUsed/>
    <w:qFormat/>
    <w:rsid w:val="00544DDF"/>
    <w:pPr>
      <w:numPr>
        <w:numId w:val="6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5F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5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5F4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5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5F43"/>
    <w:rPr>
      <w:rFonts w:ascii="Arial" w:hAnsi="Arial"/>
      <w:b/>
      <w:bCs/>
      <w:sz w:val="20"/>
      <w:szCs w:val="20"/>
    </w:rPr>
  </w:style>
  <w:style w:type="paragraph" w:customStyle="1" w:styleId="CABNETParagraphAtt">
    <w:name w:val="CABNET Paragraph Att"/>
    <w:basedOn w:val="Normal"/>
    <w:link w:val="CABNETParagraphAttChar"/>
    <w:qFormat/>
    <w:rsid w:val="004711F0"/>
    <w:pPr>
      <w:spacing w:before="60" w:after="60" w:line="240" w:lineRule="auto"/>
    </w:pPr>
    <w:rPr>
      <w:rFonts w:eastAsiaTheme="minorHAnsi" w:cstheme="minorHAnsi"/>
      <w:sz w:val="22"/>
      <w:szCs w:val="22"/>
      <w:lang w:eastAsia="en-US"/>
    </w:rPr>
  </w:style>
  <w:style w:type="character" w:customStyle="1" w:styleId="CABNETParagraphAttChar">
    <w:name w:val="CABNET Paragraph Att Char"/>
    <w:basedOn w:val="DefaultParagraphFont"/>
    <w:link w:val="CABNETParagraphAtt"/>
    <w:rsid w:val="004711F0"/>
    <w:rPr>
      <w:rFonts w:ascii="Arial" w:eastAsiaTheme="minorHAnsi" w:hAnsi="Arial" w:cstheme="minorHAnsi"/>
      <w:sz w:val="22"/>
      <w:szCs w:val="22"/>
      <w:lang w:eastAsia="en-US"/>
    </w:rPr>
  </w:style>
  <w:style w:type="numbering" w:customStyle="1" w:styleId="CABNETList">
    <w:name w:val="CABNET List"/>
    <w:rsid w:val="004711F0"/>
    <w:pPr>
      <w:numPr>
        <w:numId w:val="7"/>
      </w:numPr>
    </w:pPr>
  </w:style>
  <w:style w:type="paragraph" w:customStyle="1" w:styleId="CABHeading3">
    <w:name w:val="CAB Heading 3"/>
    <w:basedOn w:val="Normal"/>
    <w:qFormat/>
    <w:rsid w:val="004711F0"/>
    <w:pPr>
      <w:keepLines/>
      <w:spacing w:after="120" w:line="240" w:lineRule="auto"/>
    </w:pPr>
    <w:rPr>
      <w:rFonts w:ascii="Verdana" w:eastAsia="Verdana" w:hAnsi="Verdana" w:cs="Times New Roman"/>
      <w:i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B7EFD"/>
    <w:rPr>
      <w:color w:val="808080"/>
    </w:rPr>
  </w:style>
  <w:style w:type="table" w:styleId="TableGrid">
    <w:name w:val="Table Grid"/>
    <w:basedOn w:val="TableNormal"/>
    <w:rsid w:val="00A10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C5070B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5070B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C507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5EE3B-88BE-4AA5-B64F-54048BFC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2024-05-14T05:17:00Z</dcterms:created>
  <dcterms:modified xsi:type="dcterms:W3CDTF">2024-05-14T05:17:00Z</dcterms:modified>
  <cp:category/>
</cp:coreProperties>
</file>