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98BE7" w14:textId="77777777" w:rsidR="0063663C" w:rsidRDefault="0063663C">
      <w:bookmarkStart w:id="0" w:name="_GoBack"/>
      <w:bookmarkEnd w:id="0"/>
    </w:p>
    <w:tbl>
      <w:tblPr>
        <w:tblStyle w:val="TableGrid"/>
        <w:tblW w:w="9351" w:type="dxa"/>
        <w:tblLook w:val="04A0" w:firstRow="1" w:lastRow="0" w:firstColumn="1" w:lastColumn="0" w:noHBand="0" w:noVBand="1"/>
      </w:tblPr>
      <w:tblGrid>
        <w:gridCol w:w="2406"/>
        <w:gridCol w:w="6945"/>
      </w:tblGrid>
      <w:tr w:rsidR="007A21EF" w:rsidRPr="00384D48" w14:paraId="038948CA" w14:textId="77777777" w:rsidTr="005063BD">
        <w:tc>
          <w:tcPr>
            <w:tcW w:w="9351" w:type="dxa"/>
            <w:gridSpan w:val="2"/>
            <w:shd w:val="clear" w:color="auto" w:fill="D9D9D9" w:themeFill="background1" w:themeFillShade="D9"/>
          </w:tcPr>
          <w:p w14:paraId="616DDFEE" w14:textId="79548BDD" w:rsidR="00C724C2" w:rsidRDefault="004278D1" w:rsidP="00675C78">
            <w:pPr>
              <w:rPr>
                <w:b/>
                <w:sz w:val="32"/>
                <w:szCs w:val="32"/>
              </w:rPr>
            </w:pPr>
            <w:r>
              <w:rPr>
                <w:b/>
                <w:sz w:val="32"/>
                <w:szCs w:val="32"/>
              </w:rPr>
              <w:t xml:space="preserve"> </w:t>
            </w:r>
          </w:p>
          <w:p w14:paraId="4F34A891" w14:textId="3212CF8F" w:rsidR="007A21EF" w:rsidRDefault="006E5763" w:rsidP="00C724C2">
            <w:pPr>
              <w:jc w:val="center"/>
              <w:rPr>
                <w:b/>
                <w:sz w:val="32"/>
                <w:szCs w:val="32"/>
              </w:rPr>
            </w:pPr>
            <w:r>
              <w:rPr>
                <w:b/>
                <w:sz w:val="32"/>
                <w:szCs w:val="32"/>
              </w:rPr>
              <w:t>Medical Grade Footwear (MGF)</w:t>
            </w:r>
            <w:r w:rsidR="00C93BDC">
              <w:rPr>
                <w:b/>
                <w:sz w:val="32"/>
                <w:szCs w:val="32"/>
              </w:rPr>
              <w:t xml:space="preserve"> Program</w:t>
            </w:r>
          </w:p>
          <w:p w14:paraId="3233AD3A" w14:textId="77777777" w:rsidR="00675C78" w:rsidRPr="00384D48" w:rsidRDefault="00675C78" w:rsidP="00675C78">
            <w:pPr>
              <w:rPr>
                <w:b/>
                <w:sz w:val="32"/>
                <w:szCs w:val="32"/>
              </w:rPr>
            </w:pPr>
          </w:p>
        </w:tc>
      </w:tr>
      <w:tr w:rsidR="00AA6BC1" w14:paraId="0EFCFF9B" w14:textId="77777777" w:rsidTr="005063BD">
        <w:tc>
          <w:tcPr>
            <w:tcW w:w="2406" w:type="dxa"/>
          </w:tcPr>
          <w:p w14:paraId="44BA2222" w14:textId="77777777" w:rsidR="00D90152" w:rsidRDefault="00D90152" w:rsidP="00D90152">
            <w:r w:rsidRPr="00887DE9">
              <w:rPr>
                <w:b/>
              </w:rPr>
              <w:t>Definition</w:t>
            </w:r>
          </w:p>
        </w:tc>
        <w:tc>
          <w:tcPr>
            <w:tcW w:w="6945" w:type="dxa"/>
          </w:tcPr>
          <w:p w14:paraId="33BC4765" w14:textId="67A1E4DA" w:rsidR="00CE4022" w:rsidRDefault="00AB0B23" w:rsidP="00AB0B23">
            <w:r w:rsidRPr="00A13B49">
              <w:t>Footwear clinically prescribed to accommodate</w:t>
            </w:r>
            <w:r w:rsidR="00CE4022">
              <w:t>/</w:t>
            </w:r>
            <w:r>
              <w:t>correct</w:t>
            </w:r>
            <w:r w:rsidR="00CE4022">
              <w:t xml:space="preserve"> or treat:</w:t>
            </w:r>
          </w:p>
          <w:p w14:paraId="590BCDC0" w14:textId="48D56147" w:rsidR="00CE4022" w:rsidRDefault="00AB0B23" w:rsidP="005063BD">
            <w:pPr>
              <w:pStyle w:val="ListParagraph"/>
              <w:numPr>
                <w:ilvl w:val="0"/>
                <w:numId w:val="35"/>
              </w:numPr>
            </w:pPr>
            <w:r w:rsidRPr="00A13B49">
              <w:t>abnormal foot</w:t>
            </w:r>
            <w:r w:rsidR="00CE4022">
              <w:t>;</w:t>
            </w:r>
          </w:p>
          <w:p w14:paraId="34E11358" w14:textId="3D01B1B7" w:rsidR="00CE4022" w:rsidRDefault="00AB0B23" w:rsidP="005063BD">
            <w:pPr>
              <w:pStyle w:val="ListParagraph"/>
              <w:numPr>
                <w:ilvl w:val="0"/>
                <w:numId w:val="35"/>
              </w:numPr>
            </w:pPr>
            <w:r w:rsidRPr="00A13B49">
              <w:t>ankle structure</w:t>
            </w:r>
            <w:r w:rsidR="00CE4022">
              <w:t>;</w:t>
            </w:r>
          </w:p>
          <w:p w14:paraId="39AFF395" w14:textId="050B99EB" w:rsidR="00CE4022" w:rsidRDefault="00AB0B23" w:rsidP="005063BD">
            <w:pPr>
              <w:pStyle w:val="ListParagraph"/>
              <w:numPr>
                <w:ilvl w:val="0"/>
                <w:numId w:val="35"/>
              </w:numPr>
            </w:pPr>
            <w:r>
              <w:t xml:space="preserve">significant </w:t>
            </w:r>
            <w:r w:rsidRPr="00A13B49">
              <w:t>deformity</w:t>
            </w:r>
            <w:r w:rsidR="00CE4022">
              <w:t>; or</w:t>
            </w:r>
          </w:p>
          <w:p w14:paraId="2E206216" w14:textId="291C7715" w:rsidR="00AB0B23" w:rsidRPr="00A13B49" w:rsidRDefault="00CE4022" w:rsidP="005063BD">
            <w:pPr>
              <w:pStyle w:val="ListParagraph"/>
              <w:numPr>
                <w:ilvl w:val="0"/>
                <w:numId w:val="35"/>
              </w:numPr>
              <w:spacing w:after="120"/>
              <w:ind w:left="714" w:hanging="357"/>
            </w:pPr>
            <w:r>
              <w:t>medical condition/s</w:t>
            </w:r>
          </w:p>
          <w:p w14:paraId="13633F26" w14:textId="77777777" w:rsidR="00AB0B23" w:rsidRDefault="00AB0B23" w:rsidP="005063BD">
            <w:pPr>
              <w:spacing w:after="120"/>
            </w:pPr>
            <w:r w:rsidRPr="00A13B49">
              <w:t>MGF may be prescribed when readily available suitable everyday footwear cannot be used or modified for this purpose.</w:t>
            </w:r>
            <w:r w:rsidR="009D1A25">
              <w:t xml:space="preserve">  The MGF program will only supply footwear that meets MGF specifications.</w:t>
            </w:r>
          </w:p>
          <w:p w14:paraId="2C8F942E" w14:textId="77777777" w:rsidR="00AB0B23" w:rsidRPr="00A13B49" w:rsidRDefault="00AB0B23" w:rsidP="005063BD">
            <w:pPr>
              <w:spacing w:after="120"/>
            </w:pPr>
            <w:r>
              <w:t xml:space="preserve">Overall, </w:t>
            </w:r>
            <w:r w:rsidRPr="00A13B49">
              <w:t xml:space="preserve">MGF should have leather uppers free from marks and blemishes, uniform in colour and grain appearance. </w:t>
            </w:r>
            <w:r w:rsidR="00C43FD6">
              <w:t xml:space="preserve"> </w:t>
            </w:r>
            <w:r w:rsidRPr="00A13B49">
              <w:t xml:space="preserve">All components should be free of permanent wrinkles or creases.  The design should allow for easy donning and doffing.  The shoe should be lace-up, velcro or buckle closure. The quality and thickness of materials used for soles, uppers, linings and torsional stability should be such that normal wear would not adversely reduce the life of the shoe within </w:t>
            </w:r>
            <w:r w:rsidR="00522409">
              <w:t xml:space="preserve">the </w:t>
            </w:r>
            <w:r w:rsidRPr="00A13B49">
              <w:t>twelve</w:t>
            </w:r>
            <w:r w:rsidR="00522409">
              <w:t xml:space="preserve"> month warranty of the shoe.</w:t>
            </w:r>
          </w:p>
          <w:p w14:paraId="34260122" w14:textId="77777777" w:rsidR="00AB0B23" w:rsidRPr="00AB0B23" w:rsidRDefault="00AB0B23" w:rsidP="00AB0B23">
            <w:pPr>
              <w:pStyle w:val="Header"/>
              <w:widowControl w:val="0"/>
              <w:spacing w:after="120"/>
              <w:rPr>
                <w:rFonts w:ascii="Calibri" w:hAnsi="Calibri"/>
                <w:b/>
              </w:rPr>
            </w:pPr>
            <w:r w:rsidRPr="00AB0B23">
              <w:rPr>
                <w:rFonts w:ascii="Calibri" w:hAnsi="Calibri"/>
                <w:b/>
              </w:rPr>
              <w:t>Ready-</w:t>
            </w:r>
            <w:r>
              <w:rPr>
                <w:rFonts w:ascii="Calibri" w:hAnsi="Calibri"/>
                <w:b/>
              </w:rPr>
              <w:t>m</w:t>
            </w:r>
            <w:r w:rsidRPr="00AB0B23">
              <w:rPr>
                <w:rFonts w:ascii="Calibri" w:hAnsi="Calibri"/>
                <w:b/>
              </w:rPr>
              <w:t>ade MGF</w:t>
            </w:r>
          </w:p>
          <w:p w14:paraId="31065590" w14:textId="701570C2" w:rsidR="0048573C" w:rsidRDefault="00AB0B23" w:rsidP="005063BD">
            <w:pPr>
              <w:spacing w:after="120"/>
              <w:contextualSpacing/>
            </w:pPr>
            <w:r w:rsidRPr="00A13B49">
              <w:t xml:space="preserve">Footwear that has specific features of extra depth and/or extra width </w:t>
            </w:r>
            <w:r w:rsidRPr="00FD4AA7">
              <w:t>added to the shoe so the completed shoe can accommodate foot abnormalities.</w:t>
            </w:r>
            <w:r w:rsidRPr="00A13B49">
              <w:t xml:space="preserve">  This footwear is listed on the</w:t>
            </w:r>
            <w:r>
              <w:t xml:space="preserve"> </w:t>
            </w:r>
            <w:hyperlink r:id="rId11" w:history="1">
              <w:r w:rsidRPr="00C43FD6">
                <w:rPr>
                  <w:rStyle w:val="Hyperlink"/>
                </w:rPr>
                <w:t>MGF Register</w:t>
              </w:r>
            </w:hyperlink>
            <w:r w:rsidR="00D528A2">
              <w:t xml:space="preserve"> (</w:t>
            </w:r>
            <w:hyperlink r:id="rId12" w:anchor="rrr" w:history="1">
              <w:r w:rsidR="00D528A2" w:rsidRPr="004D1EF1">
                <w:rPr>
                  <w:rStyle w:val="Hyperlink"/>
                </w:rPr>
                <w:t>www.dva.gov.au/mgf#rrr</w:t>
              </w:r>
            </w:hyperlink>
            <w:r w:rsidR="00D528A2">
              <w:t>)</w:t>
            </w:r>
            <w:r>
              <w:t xml:space="preserve"> </w:t>
            </w:r>
          </w:p>
          <w:p w14:paraId="62E4B0CA" w14:textId="77777777" w:rsidR="00AB0B23" w:rsidRPr="00AB0B23" w:rsidRDefault="00AB0B23" w:rsidP="00AB0B23">
            <w:pPr>
              <w:pStyle w:val="Header"/>
              <w:widowControl w:val="0"/>
              <w:spacing w:after="120"/>
              <w:rPr>
                <w:rFonts w:ascii="Calibri" w:hAnsi="Calibri"/>
                <w:b/>
              </w:rPr>
            </w:pPr>
            <w:bookmarkStart w:id="1" w:name="_Toc433657311"/>
            <w:r w:rsidRPr="00AB0B23">
              <w:rPr>
                <w:rFonts w:ascii="Calibri" w:hAnsi="Calibri"/>
                <w:b/>
              </w:rPr>
              <w:t>Custom made MGF</w:t>
            </w:r>
            <w:bookmarkEnd w:id="1"/>
          </w:p>
          <w:p w14:paraId="7A5F2F10" w14:textId="0193AB28" w:rsidR="00AB0B23" w:rsidRDefault="00AB0B23" w:rsidP="005063BD">
            <w:pPr>
              <w:spacing w:after="120"/>
            </w:pPr>
            <w:r w:rsidRPr="00FD4AA7">
              <w:t xml:space="preserve">Footwear that is manufactured to </w:t>
            </w:r>
            <w:r w:rsidR="00ED77EF" w:rsidRPr="00FD4AA7">
              <w:t>an individua</w:t>
            </w:r>
            <w:r w:rsidR="00ED77EF" w:rsidRPr="005063BD">
              <w:t>l</w:t>
            </w:r>
            <w:r w:rsidR="00ED77EF" w:rsidRPr="00FD4AA7">
              <w:t>’s</w:t>
            </w:r>
            <w:r w:rsidRPr="00A13B49">
              <w:t xml:space="preserve"> specifications. Custom MGF is made from lasts or casts built to replicate and accommodate abnormal foot/ankle structure or gross deformities of the feet. </w:t>
            </w:r>
            <w:r w:rsidR="00C43FD6">
              <w:t xml:space="preserve"> </w:t>
            </w:r>
            <w:r w:rsidRPr="00A13B49">
              <w:t>Custom MGF is provided where ready-made MGF cannot accommodate these conditions.</w:t>
            </w:r>
          </w:p>
          <w:p w14:paraId="518A91AA" w14:textId="21B88CCF" w:rsidR="007834DD" w:rsidRPr="005063BD" w:rsidRDefault="007834DD" w:rsidP="005063BD">
            <w:pPr>
              <w:spacing w:after="120"/>
              <w:rPr>
                <w:b/>
              </w:rPr>
            </w:pPr>
            <w:r w:rsidRPr="005063BD">
              <w:rPr>
                <w:b/>
              </w:rPr>
              <w:t xml:space="preserve">Items and conditions NOT funded through the MGF Program </w:t>
            </w:r>
          </w:p>
          <w:p w14:paraId="2F9C15C3" w14:textId="31F8EFAA" w:rsidR="009D1A25" w:rsidRPr="005063BD" w:rsidRDefault="00705B9C" w:rsidP="005063BD">
            <w:r w:rsidRPr="00C93BDC">
              <w:t>F</w:t>
            </w:r>
            <w:r w:rsidR="009D1A25" w:rsidRPr="00C93BDC">
              <w:t>ootwear</w:t>
            </w:r>
            <w:r w:rsidR="009D1A25">
              <w:t xml:space="preserve"> types </w:t>
            </w:r>
            <w:r w:rsidR="009D1A25" w:rsidRPr="005063BD">
              <w:rPr>
                <w:u w:val="single"/>
              </w:rPr>
              <w:t>not covered</w:t>
            </w:r>
            <w:r w:rsidR="00411F0D" w:rsidRPr="005063BD">
              <w:t xml:space="preserve"> include</w:t>
            </w:r>
            <w:r w:rsidR="009D1A25">
              <w:t xml:space="preserve">: </w:t>
            </w:r>
            <w:r w:rsidR="009D1A25" w:rsidRPr="005063BD">
              <w:t xml:space="preserve"> </w:t>
            </w:r>
          </w:p>
          <w:p w14:paraId="11FBA0F3" w14:textId="77777777" w:rsidR="009D1A25" w:rsidRPr="00BF1DD5" w:rsidRDefault="009D1A25" w:rsidP="005063BD">
            <w:pPr>
              <w:pStyle w:val="ListParagraph"/>
              <w:numPr>
                <w:ilvl w:val="0"/>
                <w:numId w:val="36"/>
              </w:numPr>
              <w:autoSpaceDE w:val="0"/>
              <w:autoSpaceDN w:val="0"/>
              <w:adjustRightInd w:val="0"/>
            </w:pPr>
            <w:r w:rsidRPr="00BF1DD5">
              <w:t>sports style shoes;</w:t>
            </w:r>
          </w:p>
          <w:p w14:paraId="0C2AADD4" w14:textId="360F1D62" w:rsidR="00D559B1" w:rsidRDefault="009D1A25" w:rsidP="009D1A25">
            <w:pPr>
              <w:numPr>
                <w:ilvl w:val="0"/>
                <w:numId w:val="18"/>
              </w:numPr>
              <w:autoSpaceDE w:val="0"/>
              <w:autoSpaceDN w:val="0"/>
              <w:adjustRightInd w:val="0"/>
            </w:pPr>
            <w:r w:rsidRPr="007D4BF7">
              <w:t xml:space="preserve">inappropriate styles e.g. slippers, slip-on style shoes, open heeled </w:t>
            </w:r>
            <w:r w:rsidRPr="00E01008">
              <w:t>sandals/shoes, thongs; and</w:t>
            </w:r>
          </w:p>
          <w:p w14:paraId="37CD8F60" w14:textId="7CE6FD28" w:rsidR="00BF1DD5" w:rsidRPr="009D1A25" w:rsidRDefault="00C43FD6" w:rsidP="005063BD">
            <w:pPr>
              <w:numPr>
                <w:ilvl w:val="0"/>
                <w:numId w:val="18"/>
              </w:numPr>
              <w:autoSpaceDE w:val="0"/>
              <w:autoSpaceDN w:val="0"/>
              <w:adjustRightInd w:val="0"/>
              <w:spacing w:after="120"/>
              <w:ind w:left="714" w:hanging="357"/>
              <w:rPr>
                <w:sz w:val="20"/>
              </w:rPr>
            </w:pPr>
            <w:r w:rsidRPr="00997F8D">
              <w:t>accommodating orthoses only (a</w:t>
            </w:r>
            <w:r w:rsidR="009D1A25" w:rsidRPr="00997F8D">
              <w:t>dditional clinical need e.g. significant foot deformity or abnormal pathology must exist for MGF to be provided).</w:t>
            </w:r>
            <w:r w:rsidR="009D1A25" w:rsidRPr="00FD4AA7">
              <w:rPr>
                <w:rFonts w:cs="Arial"/>
              </w:rPr>
              <w:t xml:space="preserve"> </w:t>
            </w:r>
          </w:p>
          <w:p w14:paraId="6402285F" w14:textId="2110FBCD" w:rsidR="00705B9C" w:rsidRDefault="00705B9C" w:rsidP="005063BD">
            <w:pPr>
              <w:autoSpaceDE w:val="0"/>
              <w:autoSpaceDN w:val="0"/>
              <w:adjustRightInd w:val="0"/>
              <w:rPr>
                <w:rFonts w:cstheme="minorHAnsi"/>
                <w:color w:val="000000"/>
              </w:rPr>
            </w:pPr>
            <w:r w:rsidRPr="005063BD">
              <w:rPr>
                <w:rFonts w:cstheme="minorHAnsi"/>
                <w:b/>
                <w:color w:val="000000"/>
              </w:rPr>
              <w:t>Medical conditions</w:t>
            </w:r>
            <w:r>
              <w:rPr>
                <w:rFonts w:cstheme="minorHAnsi"/>
                <w:color w:val="000000"/>
              </w:rPr>
              <w:t xml:space="preserve"> which </w:t>
            </w:r>
            <w:r w:rsidRPr="00705B9C">
              <w:rPr>
                <w:rFonts w:cstheme="minorHAnsi"/>
                <w:color w:val="000000"/>
              </w:rPr>
              <w:t xml:space="preserve">on their own are </w:t>
            </w:r>
            <w:r w:rsidRPr="005063BD">
              <w:rPr>
                <w:rFonts w:cstheme="minorHAnsi"/>
                <w:color w:val="000000"/>
                <w:u w:val="single"/>
              </w:rPr>
              <w:t xml:space="preserve">not </w:t>
            </w:r>
            <w:r w:rsidR="007834DD" w:rsidRPr="005063BD">
              <w:rPr>
                <w:rFonts w:cstheme="minorHAnsi"/>
                <w:color w:val="000000"/>
                <w:u w:val="single"/>
              </w:rPr>
              <w:t>covered</w:t>
            </w:r>
            <w:r w:rsidR="007834DD">
              <w:rPr>
                <w:rFonts w:cstheme="minorHAnsi"/>
                <w:color w:val="000000"/>
              </w:rPr>
              <w:t xml:space="preserve"> by </w:t>
            </w:r>
            <w:r>
              <w:rPr>
                <w:rFonts w:cstheme="minorHAnsi"/>
                <w:color w:val="000000"/>
              </w:rPr>
              <w:t>MGF Program:</w:t>
            </w:r>
          </w:p>
          <w:p w14:paraId="41D39DD4" w14:textId="77777777" w:rsidR="00705B9C" w:rsidRPr="005063BD" w:rsidRDefault="00705B9C" w:rsidP="005063BD">
            <w:pPr>
              <w:pStyle w:val="ListParagraph"/>
              <w:numPr>
                <w:ilvl w:val="0"/>
                <w:numId w:val="41"/>
              </w:numPr>
              <w:autoSpaceDE w:val="0"/>
              <w:autoSpaceDN w:val="0"/>
              <w:adjustRightInd w:val="0"/>
              <w:rPr>
                <w:rFonts w:cstheme="minorHAnsi"/>
                <w:color w:val="000000"/>
              </w:rPr>
            </w:pPr>
            <w:r w:rsidRPr="005063BD">
              <w:rPr>
                <w:rFonts w:cstheme="minorHAnsi"/>
                <w:color w:val="000000"/>
              </w:rPr>
              <w:t xml:space="preserve">Plantar fasciitis </w:t>
            </w:r>
          </w:p>
          <w:p w14:paraId="6E5A9545" w14:textId="77777777" w:rsidR="00705B9C" w:rsidRPr="005063BD" w:rsidRDefault="00705B9C" w:rsidP="005063BD">
            <w:pPr>
              <w:numPr>
                <w:ilvl w:val="0"/>
                <w:numId w:val="41"/>
              </w:numPr>
              <w:autoSpaceDE w:val="0"/>
              <w:autoSpaceDN w:val="0"/>
              <w:adjustRightInd w:val="0"/>
              <w:rPr>
                <w:rFonts w:cstheme="minorHAnsi"/>
                <w:color w:val="000000"/>
              </w:rPr>
            </w:pPr>
            <w:r w:rsidRPr="005063BD">
              <w:rPr>
                <w:rFonts w:cstheme="minorHAnsi"/>
                <w:color w:val="000000"/>
              </w:rPr>
              <w:t xml:space="preserve">Heel spurs </w:t>
            </w:r>
          </w:p>
          <w:p w14:paraId="241D6E4E" w14:textId="77777777" w:rsidR="00705B9C" w:rsidRPr="005063BD" w:rsidRDefault="00705B9C" w:rsidP="005063BD">
            <w:pPr>
              <w:numPr>
                <w:ilvl w:val="0"/>
                <w:numId w:val="41"/>
              </w:numPr>
              <w:autoSpaceDE w:val="0"/>
              <w:autoSpaceDN w:val="0"/>
              <w:adjustRightInd w:val="0"/>
              <w:rPr>
                <w:rFonts w:cstheme="minorHAnsi"/>
                <w:color w:val="000000"/>
              </w:rPr>
            </w:pPr>
            <w:r w:rsidRPr="005063BD">
              <w:rPr>
                <w:rFonts w:cstheme="minorHAnsi"/>
                <w:color w:val="000000"/>
              </w:rPr>
              <w:t xml:space="preserve">Ingrown toenails </w:t>
            </w:r>
          </w:p>
          <w:p w14:paraId="181D7217" w14:textId="77777777" w:rsidR="00705B9C" w:rsidRPr="005063BD" w:rsidRDefault="00705B9C" w:rsidP="005063BD">
            <w:pPr>
              <w:numPr>
                <w:ilvl w:val="0"/>
                <w:numId w:val="41"/>
              </w:numPr>
              <w:autoSpaceDE w:val="0"/>
              <w:autoSpaceDN w:val="0"/>
              <w:adjustRightInd w:val="0"/>
              <w:rPr>
                <w:rFonts w:cstheme="minorHAnsi"/>
                <w:color w:val="000000"/>
              </w:rPr>
            </w:pPr>
            <w:r w:rsidRPr="005063BD">
              <w:rPr>
                <w:rFonts w:cstheme="minorHAnsi"/>
                <w:color w:val="000000"/>
              </w:rPr>
              <w:t xml:space="preserve">Splay feet (unless severe) </w:t>
            </w:r>
          </w:p>
          <w:p w14:paraId="3CAEA855" w14:textId="5C639A94" w:rsidR="00705B9C" w:rsidRPr="005063BD" w:rsidRDefault="00705B9C" w:rsidP="005063BD">
            <w:pPr>
              <w:numPr>
                <w:ilvl w:val="0"/>
                <w:numId w:val="41"/>
              </w:numPr>
              <w:autoSpaceDE w:val="0"/>
              <w:autoSpaceDN w:val="0"/>
              <w:adjustRightInd w:val="0"/>
              <w:rPr>
                <w:rFonts w:cstheme="minorHAnsi"/>
                <w:color w:val="000000"/>
              </w:rPr>
            </w:pPr>
            <w:r w:rsidRPr="005063BD">
              <w:rPr>
                <w:rFonts w:cstheme="minorHAnsi"/>
                <w:color w:val="000000"/>
              </w:rPr>
              <w:lastRenderedPageBreak/>
              <w:t>Osteoarthritis of the midfoot</w:t>
            </w:r>
            <w:r w:rsidR="00655A5E">
              <w:rPr>
                <w:rFonts w:cstheme="minorHAnsi"/>
                <w:color w:val="000000"/>
              </w:rPr>
              <w:t xml:space="preserve"> (unless this has resulted in a deformity)</w:t>
            </w:r>
            <w:r>
              <w:rPr>
                <w:rFonts w:cstheme="minorHAnsi"/>
                <w:color w:val="000000"/>
              </w:rPr>
              <w:t>, knee or hip</w:t>
            </w:r>
            <w:r w:rsidRPr="005063BD">
              <w:rPr>
                <w:rFonts w:cstheme="minorHAnsi"/>
                <w:color w:val="000000"/>
              </w:rPr>
              <w:t xml:space="preserve"> </w:t>
            </w:r>
          </w:p>
          <w:p w14:paraId="137CA5C4" w14:textId="77777777" w:rsidR="00705B9C" w:rsidRPr="005063BD" w:rsidRDefault="00705B9C" w:rsidP="005063BD">
            <w:pPr>
              <w:numPr>
                <w:ilvl w:val="0"/>
                <w:numId w:val="41"/>
              </w:numPr>
              <w:autoSpaceDE w:val="0"/>
              <w:autoSpaceDN w:val="0"/>
              <w:adjustRightInd w:val="0"/>
              <w:rPr>
                <w:rFonts w:cstheme="minorHAnsi"/>
                <w:color w:val="000000"/>
              </w:rPr>
            </w:pPr>
            <w:r w:rsidRPr="005063BD">
              <w:rPr>
                <w:rFonts w:cstheme="minorHAnsi"/>
                <w:color w:val="000000"/>
              </w:rPr>
              <w:t xml:space="preserve">Keratomas </w:t>
            </w:r>
          </w:p>
          <w:p w14:paraId="2FEFFE5C" w14:textId="2398A5F7" w:rsidR="00705B9C" w:rsidRPr="005063BD" w:rsidRDefault="00705B9C" w:rsidP="005063BD">
            <w:pPr>
              <w:numPr>
                <w:ilvl w:val="0"/>
                <w:numId w:val="41"/>
              </w:numPr>
              <w:shd w:val="clear" w:color="auto" w:fill="FFFFFF" w:themeFill="background1"/>
              <w:autoSpaceDE w:val="0"/>
              <w:autoSpaceDN w:val="0"/>
              <w:adjustRightInd w:val="0"/>
              <w:rPr>
                <w:rFonts w:cstheme="minorHAnsi"/>
                <w:color w:val="000000"/>
              </w:rPr>
            </w:pPr>
            <w:r w:rsidRPr="005063BD">
              <w:rPr>
                <w:rFonts w:cstheme="minorHAnsi"/>
                <w:color w:val="000000"/>
              </w:rPr>
              <w:t>Diabetes Mellitus with no significant risk of deformity</w:t>
            </w:r>
            <w:r w:rsidR="001B631D" w:rsidRPr="009B5EF1">
              <w:rPr>
                <w:rFonts w:cstheme="minorHAnsi"/>
                <w:color w:val="000000"/>
              </w:rPr>
              <w:t xml:space="preserve"> or low risk of foot ulceration. </w:t>
            </w:r>
          </w:p>
          <w:p w14:paraId="24FDE511" w14:textId="3223BAF0" w:rsidR="00705B9C" w:rsidRPr="005063BD" w:rsidRDefault="00705B9C" w:rsidP="005063BD">
            <w:pPr>
              <w:numPr>
                <w:ilvl w:val="0"/>
                <w:numId w:val="41"/>
              </w:numPr>
              <w:autoSpaceDE w:val="0"/>
              <w:autoSpaceDN w:val="0"/>
              <w:adjustRightInd w:val="0"/>
              <w:rPr>
                <w:rFonts w:cstheme="minorHAnsi"/>
                <w:color w:val="000000"/>
              </w:rPr>
            </w:pPr>
            <w:r w:rsidRPr="005063BD">
              <w:rPr>
                <w:rFonts w:cstheme="minorHAnsi"/>
                <w:color w:val="000000"/>
              </w:rPr>
              <w:t>Atrophy of plantar fibro-fatty padding</w:t>
            </w:r>
            <w:r w:rsidR="00411F0D">
              <w:rPr>
                <w:rFonts w:cstheme="minorHAnsi"/>
                <w:color w:val="000000"/>
              </w:rPr>
              <w:t>.</w:t>
            </w:r>
          </w:p>
          <w:p w14:paraId="761D7224" w14:textId="77777777" w:rsidR="00655A5E" w:rsidRDefault="00705B9C" w:rsidP="005063BD">
            <w:pPr>
              <w:numPr>
                <w:ilvl w:val="0"/>
                <w:numId w:val="41"/>
              </w:numPr>
              <w:autoSpaceDE w:val="0"/>
              <w:autoSpaceDN w:val="0"/>
              <w:adjustRightInd w:val="0"/>
              <w:spacing w:after="120"/>
              <w:ind w:left="714" w:hanging="357"/>
              <w:rPr>
                <w:rFonts w:cstheme="minorHAnsi"/>
                <w:color w:val="000000"/>
              </w:rPr>
            </w:pPr>
            <w:r w:rsidRPr="005063BD">
              <w:rPr>
                <w:rFonts w:cstheme="minorHAnsi"/>
                <w:color w:val="000000"/>
              </w:rPr>
              <w:t xml:space="preserve">Onychogryphosis/Onchauxis </w:t>
            </w:r>
          </w:p>
          <w:p w14:paraId="3B498841" w14:textId="49C8FB86" w:rsidR="00D559B1" w:rsidRPr="005063BD" w:rsidRDefault="00655A5E" w:rsidP="0063663C">
            <w:pPr>
              <w:numPr>
                <w:ilvl w:val="0"/>
                <w:numId w:val="41"/>
              </w:numPr>
              <w:autoSpaceDE w:val="0"/>
              <w:autoSpaceDN w:val="0"/>
              <w:adjustRightInd w:val="0"/>
              <w:spacing w:after="120"/>
              <w:ind w:left="714" w:hanging="357"/>
              <w:rPr>
                <w:rFonts w:cstheme="minorHAnsi"/>
                <w:color w:val="000000"/>
              </w:rPr>
            </w:pPr>
            <w:r>
              <w:rPr>
                <w:rFonts w:cstheme="minorHAnsi"/>
                <w:color w:val="000000"/>
              </w:rPr>
              <w:t>W</w:t>
            </w:r>
            <w:r w:rsidR="00705B9C" w:rsidRPr="005063BD">
              <w:rPr>
                <w:rFonts w:cstheme="minorHAnsi"/>
                <w:color w:val="000000"/>
              </w:rPr>
              <w:t xml:space="preserve">here the foot is congenitally wide or narrow but not complicated by a clinical condition. </w:t>
            </w:r>
          </w:p>
        </w:tc>
      </w:tr>
      <w:tr w:rsidR="00AA6BC1" w14:paraId="4F83BAE2" w14:textId="77777777" w:rsidTr="005063BD">
        <w:tc>
          <w:tcPr>
            <w:tcW w:w="2406" w:type="dxa"/>
          </w:tcPr>
          <w:p w14:paraId="1AE6968E" w14:textId="77777777" w:rsidR="00385B17" w:rsidRPr="00ED5632" w:rsidRDefault="00385B17" w:rsidP="00D90152">
            <w:pPr>
              <w:rPr>
                <w:b/>
              </w:rPr>
            </w:pPr>
            <w:r w:rsidRPr="00ED5632">
              <w:rPr>
                <w:b/>
              </w:rPr>
              <w:lastRenderedPageBreak/>
              <w:t>Eligibility</w:t>
            </w:r>
          </w:p>
        </w:tc>
        <w:tc>
          <w:tcPr>
            <w:tcW w:w="6945" w:type="dxa"/>
          </w:tcPr>
          <w:p w14:paraId="1B2A96BC" w14:textId="1FC76A99" w:rsidR="00CD6922" w:rsidRDefault="00CD6922" w:rsidP="0098658F">
            <w:pPr>
              <w:spacing w:after="120" w:line="259" w:lineRule="auto"/>
            </w:pPr>
            <w:r w:rsidRPr="00ED5632">
              <w:t>The DVA client must have a</w:t>
            </w:r>
            <w:r w:rsidR="003C0C9F" w:rsidRPr="00ED5632">
              <w:t>n assessed</w:t>
            </w:r>
            <w:r w:rsidRPr="00ED5632">
              <w:t xml:space="preserve"> clinical need</w:t>
            </w:r>
            <w:r w:rsidR="00BE29AA">
              <w:t xml:space="preserve"> where a foot deformity</w:t>
            </w:r>
            <w:r w:rsidR="009D1A25">
              <w:t xml:space="preserve"> or medical condition</w:t>
            </w:r>
            <w:r w:rsidR="00BE29AA">
              <w:t xml:space="preserve"> prevents the fitting of suitable stock or modified stock footwear</w:t>
            </w:r>
            <w:r w:rsidRPr="00ED5632">
              <w:t xml:space="preserve"> and</w:t>
            </w:r>
            <w:r w:rsidR="007D4BF7">
              <w:t xml:space="preserve"> holds a</w:t>
            </w:r>
            <w:r w:rsidRPr="00ED5632">
              <w:t>:</w:t>
            </w:r>
          </w:p>
          <w:p w14:paraId="3D6A3724" w14:textId="77777777" w:rsidR="00CD6922" w:rsidRDefault="00F82FC0" w:rsidP="0098658F">
            <w:pPr>
              <w:numPr>
                <w:ilvl w:val="0"/>
                <w:numId w:val="3"/>
              </w:numPr>
              <w:spacing w:after="120" w:line="259" w:lineRule="auto"/>
            </w:pPr>
            <w:r w:rsidRPr="00F76380">
              <w:rPr>
                <w:b/>
              </w:rPr>
              <w:t>Gold C</w:t>
            </w:r>
            <w:r w:rsidR="00CD6922" w:rsidRPr="00F76380">
              <w:rPr>
                <w:b/>
              </w:rPr>
              <w:t>ard</w:t>
            </w:r>
            <w:r w:rsidR="00CD6922" w:rsidRPr="00ED5632">
              <w:t>; or</w:t>
            </w:r>
          </w:p>
          <w:p w14:paraId="2ED22936" w14:textId="77777777" w:rsidR="006121F8" w:rsidRPr="00ED5632" w:rsidRDefault="00F82FC0" w:rsidP="003F6A66">
            <w:pPr>
              <w:numPr>
                <w:ilvl w:val="0"/>
                <w:numId w:val="3"/>
              </w:numPr>
              <w:spacing w:after="120" w:line="259" w:lineRule="auto"/>
              <w:rPr>
                <w:rFonts w:ascii="Calibri" w:hAnsi="Calibri"/>
                <w:b/>
              </w:rPr>
            </w:pPr>
            <w:r w:rsidRPr="004868B2">
              <w:rPr>
                <w:b/>
              </w:rPr>
              <w:t>White C</w:t>
            </w:r>
            <w:r w:rsidR="00CD6922" w:rsidRPr="004868B2">
              <w:rPr>
                <w:b/>
              </w:rPr>
              <w:t>ard</w:t>
            </w:r>
            <w:r w:rsidR="00CD6922" w:rsidRPr="00ED5632">
              <w:t xml:space="preserve"> with an accepted condition relating to the clinical need for the</w:t>
            </w:r>
            <w:r w:rsidR="00C263EA">
              <w:t xml:space="preserve"> </w:t>
            </w:r>
            <w:r w:rsidR="005E71A4">
              <w:t>MGF</w:t>
            </w:r>
            <w:r w:rsidR="00CD6922" w:rsidRPr="00ED5632">
              <w:t>.</w:t>
            </w:r>
            <w:r w:rsidR="00F76380">
              <w:t xml:space="preserve"> </w:t>
            </w:r>
            <w:r w:rsidR="004868B2">
              <w:t xml:space="preserve"> </w:t>
            </w:r>
            <w:r w:rsidR="00F76380">
              <w:t>Prior approval is required for all white card holders before any podiatry or footwear treatment can proceed.</w:t>
            </w:r>
            <w:r w:rsidR="005E71A4">
              <w:t xml:space="preserve">  </w:t>
            </w:r>
          </w:p>
        </w:tc>
      </w:tr>
      <w:tr w:rsidR="009F5A1F" w14:paraId="5EBF17F9" w14:textId="77777777" w:rsidTr="005063BD">
        <w:tc>
          <w:tcPr>
            <w:tcW w:w="9351" w:type="dxa"/>
            <w:gridSpan w:val="2"/>
            <w:shd w:val="clear" w:color="auto" w:fill="D9D9D9" w:themeFill="background1" w:themeFillShade="D9"/>
          </w:tcPr>
          <w:p w14:paraId="0BA547C5" w14:textId="77777777" w:rsidR="009F5A1F" w:rsidRPr="009F5A1F" w:rsidRDefault="009F5A1F" w:rsidP="001F1F90">
            <w:pPr>
              <w:rPr>
                <w:b/>
                <w:sz w:val="28"/>
                <w:szCs w:val="28"/>
                <w:u w:val="single"/>
              </w:rPr>
            </w:pPr>
            <w:r w:rsidRPr="009F5A1F">
              <w:rPr>
                <w:b/>
                <w:sz w:val="28"/>
                <w:szCs w:val="28"/>
              </w:rPr>
              <w:t>Prescribing</w:t>
            </w:r>
          </w:p>
        </w:tc>
      </w:tr>
      <w:tr w:rsidR="00AA6BC1" w14:paraId="1FE64C4E" w14:textId="77777777" w:rsidTr="005063BD">
        <w:trPr>
          <w:trHeight w:val="70"/>
        </w:trPr>
        <w:tc>
          <w:tcPr>
            <w:tcW w:w="2406" w:type="dxa"/>
          </w:tcPr>
          <w:p w14:paraId="64078944" w14:textId="7A504737" w:rsidR="00CD6922" w:rsidRPr="009F5A1F" w:rsidRDefault="00E5400D" w:rsidP="003B0199">
            <w:pPr>
              <w:rPr>
                <w:b/>
              </w:rPr>
            </w:pPr>
            <w:r>
              <w:rPr>
                <w:b/>
              </w:rPr>
              <w:t xml:space="preserve">Suitably </w:t>
            </w:r>
            <w:r w:rsidR="00C43FD6">
              <w:rPr>
                <w:b/>
              </w:rPr>
              <w:t>q</w:t>
            </w:r>
            <w:r>
              <w:rPr>
                <w:b/>
              </w:rPr>
              <w:t xml:space="preserve">ualified </w:t>
            </w:r>
            <w:r w:rsidR="00C43FD6">
              <w:rPr>
                <w:b/>
              </w:rPr>
              <w:t>h</w:t>
            </w:r>
            <w:r>
              <w:rPr>
                <w:b/>
              </w:rPr>
              <w:t xml:space="preserve">ealth </w:t>
            </w:r>
            <w:r w:rsidR="00C43FD6">
              <w:rPr>
                <w:b/>
              </w:rPr>
              <w:t>p</w:t>
            </w:r>
            <w:r w:rsidR="00CD6922">
              <w:rPr>
                <w:b/>
              </w:rPr>
              <w:t>rovider</w:t>
            </w:r>
          </w:p>
        </w:tc>
        <w:tc>
          <w:tcPr>
            <w:tcW w:w="6945" w:type="dxa"/>
          </w:tcPr>
          <w:p w14:paraId="1029DF6E" w14:textId="74C8F0AE" w:rsidR="00CD6922" w:rsidRDefault="00BE29AA" w:rsidP="00874632">
            <w:pPr>
              <w:spacing w:after="120"/>
            </w:pPr>
            <w:r>
              <w:t>MGF</w:t>
            </w:r>
            <w:r w:rsidR="002F75BC">
              <w:t xml:space="preserve"> must be prescribed by a suitable </w:t>
            </w:r>
            <w:r w:rsidR="00F82FC0">
              <w:t xml:space="preserve">assessing </w:t>
            </w:r>
            <w:r w:rsidR="002F75BC">
              <w:t>health provider:</w:t>
            </w:r>
          </w:p>
          <w:p w14:paraId="316D3DC1" w14:textId="5BC62C09" w:rsidR="002F75BC" w:rsidRDefault="00BE29AA" w:rsidP="00874632">
            <w:pPr>
              <w:pStyle w:val="ListParagraph"/>
              <w:numPr>
                <w:ilvl w:val="0"/>
                <w:numId w:val="4"/>
              </w:numPr>
              <w:spacing w:after="120"/>
              <w:contextualSpacing w:val="0"/>
            </w:pPr>
            <w:r>
              <w:t>Podiatrist (Pod)</w:t>
            </w:r>
            <w:r w:rsidR="00C43FD6">
              <w:t xml:space="preserve">; </w:t>
            </w:r>
            <w:r w:rsidR="00D559B1">
              <w:t>or</w:t>
            </w:r>
          </w:p>
          <w:p w14:paraId="46E6D0D5" w14:textId="3C8C8F16" w:rsidR="0098658F" w:rsidRPr="00136AB1" w:rsidRDefault="00BE29AA" w:rsidP="00BB059D">
            <w:pPr>
              <w:pStyle w:val="ListParagraph"/>
              <w:numPr>
                <w:ilvl w:val="0"/>
                <w:numId w:val="4"/>
              </w:numPr>
              <w:spacing w:after="120"/>
              <w:contextualSpacing w:val="0"/>
            </w:pPr>
            <w:r>
              <w:t xml:space="preserve">Specialist (S) i.e. </w:t>
            </w:r>
            <w:r w:rsidRPr="00BE29AA">
              <w:t>Orthopaedic Surgeon, Rehabilitation Specialist, Rheumatologist</w:t>
            </w:r>
            <w:r w:rsidR="00C43FD6">
              <w:t>.</w:t>
            </w:r>
          </w:p>
        </w:tc>
      </w:tr>
      <w:tr w:rsidR="00AA6BC1" w14:paraId="5E08EBB8" w14:textId="77777777" w:rsidTr="005063BD">
        <w:tc>
          <w:tcPr>
            <w:tcW w:w="2406" w:type="dxa"/>
          </w:tcPr>
          <w:p w14:paraId="610A0667" w14:textId="77777777" w:rsidR="003B0199" w:rsidRPr="009F5A1F" w:rsidRDefault="00E308F4" w:rsidP="003B0199">
            <w:pPr>
              <w:rPr>
                <w:b/>
              </w:rPr>
            </w:pPr>
            <w:r>
              <w:rPr>
                <w:b/>
              </w:rPr>
              <w:t>Prior a</w:t>
            </w:r>
            <w:r w:rsidR="003B0199" w:rsidRPr="009F5A1F">
              <w:rPr>
                <w:b/>
              </w:rPr>
              <w:t xml:space="preserve">pproval </w:t>
            </w:r>
          </w:p>
          <w:p w14:paraId="58A494DA" w14:textId="77777777" w:rsidR="003B0199" w:rsidRDefault="003B0199" w:rsidP="00D90152">
            <w:pPr>
              <w:rPr>
                <w:b/>
              </w:rPr>
            </w:pPr>
          </w:p>
        </w:tc>
        <w:tc>
          <w:tcPr>
            <w:tcW w:w="6945" w:type="dxa"/>
          </w:tcPr>
          <w:p w14:paraId="3CEF5D91" w14:textId="77777777" w:rsidR="00AB0B23" w:rsidRPr="00826600" w:rsidRDefault="00AB0B23" w:rsidP="00AB0B23">
            <w:r w:rsidRPr="00826600">
              <w:rPr>
                <w:b/>
              </w:rPr>
              <w:t>Gold Card Holders</w:t>
            </w:r>
            <w:r w:rsidRPr="00826600">
              <w:t xml:space="preserve"> </w:t>
            </w:r>
          </w:p>
          <w:p w14:paraId="1E018856" w14:textId="1E922EE6" w:rsidR="00CD6922" w:rsidRPr="00826600" w:rsidRDefault="00BB059D" w:rsidP="005063BD">
            <w:pPr>
              <w:spacing w:after="120"/>
            </w:pPr>
            <w:r>
              <w:t>P</w:t>
            </w:r>
            <w:r w:rsidR="003B0199" w:rsidRPr="00826600">
              <w:t xml:space="preserve">rior approval </w:t>
            </w:r>
            <w:r w:rsidR="00E5400D" w:rsidRPr="00826600">
              <w:rPr>
                <w:b/>
                <w:u w:val="single"/>
              </w:rPr>
              <w:t xml:space="preserve">is </w:t>
            </w:r>
            <w:r w:rsidR="003B0199" w:rsidRPr="00826600">
              <w:rPr>
                <w:b/>
                <w:u w:val="single"/>
              </w:rPr>
              <w:t>not</w:t>
            </w:r>
            <w:r w:rsidR="003B0199" w:rsidRPr="00826600">
              <w:t xml:space="preserve"> required</w:t>
            </w:r>
            <w:r w:rsidR="00E5400D" w:rsidRPr="00826600">
              <w:t xml:space="preserve"> for Gold Card Holders unless one or more of the following circumstances exists</w:t>
            </w:r>
            <w:r w:rsidR="00D559B1">
              <w:t xml:space="preserve"> and s</w:t>
            </w:r>
            <w:r>
              <w:t>upporting documentation is required</w:t>
            </w:r>
            <w:r w:rsidR="00D559B1">
              <w:t>:</w:t>
            </w:r>
          </w:p>
          <w:p w14:paraId="6B16CAB3" w14:textId="5263F5AF" w:rsidR="001E1D2F" w:rsidRPr="004868B2" w:rsidRDefault="001E1D2F" w:rsidP="006121F8">
            <w:pPr>
              <w:pStyle w:val="ListParagraph"/>
              <w:numPr>
                <w:ilvl w:val="0"/>
                <w:numId w:val="7"/>
              </w:numPr>
              <w:spacing w:after="120"/>
              <w:ind w:left="714" w:hanging="357"/>
              <w:contextualSpacing w:val="0"/>
            </w:pPr>
            <w:r w:rsidRPr="004868B2">
              <w:t xml:space="preserve">the supply limit exceeds </w:t>
            </w:r>
            <w:r w:rsidR="00F76380" w:rsidRPr="004868B2">
              <w:t xml:space="preserve">2 pairs </w:t>
            </w:r>
            <w:r w:rsidR="00522409" w:rsidRPr="00826600">
              <w:t>at any</w:t>
            </w:r>
            <w:r w:rsidR="00770EAE" w:rsidRPr="00826600">
              <w:t xml:space="preserve"> </w:t>
            </w:r>
            <w:r w:rsidR="00522409" w:rsidRPr="00826600">
              <w:t>one time</w:t>
            </w:r>
            <w:r w:rsidR="00411F0D">
              <w:t>; or</w:t>
            </w:r>
          </w:p>
          <w:p w14:paraId="646B2472" w14:textId="0F2359A9" w:rsidR="001E1D2F" w:rsidRDefault="00604AA6" w:rsidP="006121F8">
            <w:pPr>
              <w:pStyle w:val="ListParagraph"/>
              <w:numPr>
                <w:ilvl w:val="0"/>
                <w:numId w:val="7"/>
              </w:numPr>
              <w:spacing w:after="120"/>
              <w:ind w:left="714" w:hanging="357"/>
              <w:contextualSpacing w:val="0"/>
            </w:pPr>
            <w:r>
              <w:t>Exceeds f</w:t>
            </w:r>
            <w:r w:rsidR="00AB0B23" w:rsidRPr="004868B2">
              <w:t>inancial limit</w:t>
            </w:r>
            <w:r w:rsidR="008B1BEC" w:rsidRPr="004868B2">
              <w:t xml:space="preserve">s (the item price is above the amount in the </w:t>
            </w:r>
            <w:hyperlink r:id="rId13" w:history="1">
              <w:r w:rsidR="008B1BEC" w:rsidRPr="004868B2">
                <w:rPr>
                  <w:rStyle w:val="Hyperlink"/>
                </w:rPr>
                <w:t>MGF Schedule of Fees</w:t>
              </w:r>
            </w:hyperlink>
            <w:r w:rsidR="008B1BEC" w:rsidRPr="004868B2">
              <w:t>)</w:t>
            </w:r>
          </w:p>
          <w:p w14:paraId="34B91F90" w14:textId="77777777" w:rsidR="00AB0B23" w:rsidRPr="00826600" w:rsidRDefault="00AB0B23" w:rsidP="00AB0B23">
            <w:pPr>
              <w:rPr>
                <w:b/>
              </w:rPr>
            </w:pPr>
            <w:r w:rsidRPr="00826600">
              <w:rPr>
                <w:b/>
              </w:rPr>
              <w:t>White Card Holders</w:t>
            </w:r>
          </w:p>
          <w:p w14:paraId="3CFC9A60" w14:textId="5A33744C" w:rsidR="00FD4AA7" w:rsidRDefault="00AB0B23" w:rsidP="005E71A4">
            <w:pPr>
              <w:spacing w:after="120" w:line="259" w:lineRule="auto"/>
            </w:pPr>
            <w:r w:rsidRPr="008C746C">
              <w:t xml:space="preserve">White </w:t>
            </w:r>
            <w:r w:rsidR="00411F0D">
              <w:t>C</w:t>
            </w:r>
            <w:r w:rsidRPr="008C746C">
              <w:t xml:space="preserve">ard holders </w:t>
            </w:r>
            <w:r w:rsidR="00BE29AA" w:rsidRPr="008C746C">
              <w:t>r</w:t>
            </w:r>
            <w:r w:rsidRPr="008C746C">
              <w:t>equire prior approval</w:t>
            </w:r>
            <w:r w:rsidR="00BE29AA" w:rsidRPr="008C746C">
              <w:t xml:space="preserve"> b</w:t>
            </w:r>
            <w:r w:rsidRPr="008C746C">
              <w:t xml:space="preserve">efore </w:t>
            </w:r>
            <w:r w:rsidR="00BE29AA" w:rsidRPr="008C746C">
              <w:t xml:space="preserve">any </w:t>
            </w:r>
            <w:r w:rsidRPr="008C746C">
              <w:t xml:space="preserve">podiatry </w:t>
            </w:r>
            <w:r w:rsidR="00BE29AA" w:rsidRPr="008C746C">
              <w:t xml:space="preserve">or </w:t>
            </w:r>
            <w:r w:rsidRPr="008C746C">
              <w:t>footwear treatment</w:t>
            </w:r>
            <w:r w:rsidR="008B1BEC" w:rsidRPr="008C746C">
              <w:t xml:space="preserve"> is undertaken</w:t>
            </w:r>
            <w:r w:rsidR="00BE29AA" w:rsidRPr="008C746C">
              <w:t>.</w:t>
            </w:r>
            <w:r w:rsidR="005E71A4" w:rsidRPr="008C746C">
              <w:t xml:space="preserve">  </w:t>
            </w:r>
          </w:p>
          <w:p w14:paraId="22DC7C8A" w14:textId="77777777" w:rsidR="008F7970" w:rsidRDefault="0027658C" w:rsidP="005E71A4">
            <w:pPr>
              <w:spacing w:after="120" w:line="259" w:lineRule="auto"/>
            </w:pPr>
            <w:r>
              <w:t>A</w:t>
            </w:r>
            <w:r w:rsidR="005E71A4" w:rsidRPr="008C746C">
              <w:t>ssessing health provider</w:t>
            </w:r>
            <w:r>
              <w:t xml:space="preserve">s </w:t>
            </w:r>
            <w:r w:rsidRPr="005063BD">
              <w:rPr>
                <w:u w:val="single"/>
              </w:rPr>
              <w:t>must</w:t>
            </w:r>
            <w:r>
              <w:t xml:space="preserve"> </w:t>
            </w:r>
            <w:r w:rsidR="005E71A4" w:rsidRPr="008C746C">
              <w:t xml:space="preserve">confirm </w:t>
            </w:r>
            <w:r>
              <w:t xml:space="preserve">the client’s </w:t>
            </w:r>
            <w:r w:rsidR="005E71A4" w:rsidRPr="008C746C">
              <w:t>eligibility before prescribing MGF</w:t>
            </w:r>
            <w:r>
              <w:t xml:space="preserve">.  When calling DVA describe the </w:t>
            </w:r>
            <w:r w:rsidR="005E71A4" w:rsidRPr="008C746C">
              <w:t>client</w:t>
            </w:r>
            <w:r w:rsidR="005E71A4" w:rsidRPr="00826600">
              <w:t>’s current foot condition in sufficient detail to assist with eligibility determination</w:t>
            </w:r>
            <w:r w:rsidR="00BB059D">
              <w:t xml:space="preserve"> </w:t>
            </w:r>
          </w:p>
          <w:p w14:paraId="41BB1E28" w14:textId="27312170" w:rsidR="005E71A4" w:rsidRPr="00826600" w:rsidRDefault="00BB059D" w:rsidP="005E71A4">
            <w:pPr>
              <w:spacing w:after="120" w:line="259" w:lineRule="auto"/>
            </w:pPr>
            <w:r>
              <w:t xml:space="preserve">(See </w:t>
            </w:r>
            <w:r w:rsidRPr="005063BD">
              <w:rPr>
                <w:i/>
              </w:rPr>
              <w:t>Health Provider Hotline / Contacts for MGF enquiries</w:t>
            </w:r>
            <w:r>
              <w:t xml:space="preserve"> section below). </w:t>
            </w:r>
          </w:p>
          <w:p w14:paraId="4280B0BC" w14:textId="77777777" w:rsidR="00514FEE" w:rsidRPr="008C746C" w:rsidRDefault="00514FEE" w:rsidP="00BE29AA"/>
        </w:tc>
      </w:tr>
      <w:tr w:rsidR="00AA6BC1" w14:paraId="09FC2D62" w14:textId="77777777" w:rsidTr="005063BD">
        <w:tc>
          <w:tcPr>
            <w:tcW w:w="2406" w:type="dxa"/>
          </w:tcPr>
          <w:p w14:paraId="1747E05E" w14:textId="68919C0B" w:rsidR="003B0199" w:rsidRDefault="00294108" w:rsidP="003B0199">
            <w:pPr>
              <w:rPr>
                <w:b/>
              </w:rPr>
            </w:pPr>
            <w:r>
              <w:rPr>
                <w:b/>
              </w:rPr>
              <w:t xml:space="preserve">Clinical pathway </w:t>
            </w:r>
          </w:p>
          <w:p w14:paraId="3B77268D" w14:textId="77777777" w:rsidR="008B1BEC" w:rsidRDefault="008B1BEC" w:rsidP="003B0199">
            <w:pPr>
              <w:rPr>
                <w:b/>
              </w:rPr>
            </w:pPr>
          </w:p>
          <w:p w14:paraId="650ED619" w14:textId="77777777" w:rsidR="008B1BEC" w:rsidRDefault="008B1BEC" w:rsidP="003B0199">
            <w:pPr>
              <w:rPr>
                <w:b/>
              </w:rPr>
            </w:pPr>
          </w:p>
          <w:p w14:paraId="053865FC" w14:textId="77777777" w:rsidR="008B1BEC" w:rsidRDefault="008B1BEC" w:rsidP="003B0199">
            <w:pPr>
              <w:rPr>
                <w:b/>
              </w:rPr>
            </w:pPr>
          </w:p>
          <w:p w14:paraId="5FAD3369" w14:textId="77777777" w:rsidR="008B1BEC" w:rsidRDefault="008B1BEC" w:rsidP="003B0199">
            <w:pPr>
              <w:rPr>
                <w:b/>
              </w:rPr>
            </w:pPr>
          </w:p>
          <w:p w14:paraId="129A2C32" w14:textId="77777777" w:rsidR="008B1BEC" w:rsidRDefault="008B1BEC" w:rsidP="003B0199">
            <w:pPr>
              <w:rPr>
                <w:b/>
              </w:rPr>
            </w:pPr>
          </w:p>
          <w:p w14:paraId="3F9E46F7" w14:textId="77777777" w:rsidR="008B1BEC" w:rsidRDefault="008B1BEC" w:rsidP="003B0199">
            <w:pPr>
              <w:rPr>
                <w:b/>
              </w:rPr>
            </w:pPr>
          </w:p>
          <w:p w14:paraId="3615528A" w14:textId="77777777" w:rsidR="008B1BEC" w:rsidRDefault="008B1BEC" w:rsidP="003B0199">
            <w:pPr>
              <w:rPr>
                <w:b/>
              </w:rPr>
            </w:pPr>
          </w:p>
          <w:p w14:paraId="6B0C45AE" w14:textId="77777777" w:rsidR="008B1BEC" w:rsidRDefault="008B1BEC" w:rsidP="003B0199">
            <w:pPr>
              <w:rPr>
                <w:b/>
              </w:rPr>
            </w:pPr>
          </w:p>
          <w:p w14:paraId="50DA2456" w14:textId="77777777" w:rsidR="008B1BEC" w:rsidRDefault="008B1BEC" w:rsidP="003B0199">
            <w:pPr>
              <w:rPr>
                <w:b/>
              </w:rPr>
            </w:pPr>
          </w:p>
          <w:p w14:paraId="5BB0E875" w14:textId="77777777" w:rsidR="008B1BEC" w:rsidRDefault="008B1BEC" w:rsidP="003B0199">
            <w:pPr>
              <w:rPr>
                <w:b/>
              </w:rPr>
            </w:pPr>
          </w:p>
          <w:p w14:paraId="2CD2BBF4" w14:textId="77777777" w:rsidR="008B1BEC" w:rsidRDefault="008B1BEC" w:rsidP="003B0199">
            <w:pPr>
              <w:rPr>
                <w:b/>
              </w:rPr>
            </w:pPr>
          </w:p>
          <w:p w14:paraId="2B814540" w14:textId="77777777" w:rsidR="008B1BEC" w:rsidRDefault="008B1BEC" w:rsidP="003B0199">
            <w:pPr>
              <w:rPr>
                <w:b/>
              </w:rPr>
            </w:pPr>
          </w:p>
          <w:p w14:paraId="47807C41" w14:textId="77777777" w:rsidR="008B1BEC" w:rsidRPr="009F5A1F" w:rsidRDefault="008B1BEC" w:rsidP="003B0199">
            <w:pPr>
              <w:rPr>
                <w:b/>
              </w:rPr>
            </w:pPr>
          </w:p>
          <w:p w14:paraId="272BB37D" w14:textId="77777777" w:rsidR="003B0199" w:rsidRDefault="003B0199" w:rsidP="00D90152">
            <w:pPr>
              <w:rPr>
                <w:b/>
              </w:rPr>
            </w:pPr>
          </w:p>
        </w:tc>
        <w:tc>
          <w:tcPr>
            <w:tcW w:w="6945" w:type="dxa"/>
          </w:tcPr>
          <w:p w14:paraId="1C211843" w14:textId="4DC39693" w:rsidR="002A343E" w:rsidRPr="00A13B49" w:rsidRDefault="002A343E" w:rsidP="005063BD">
            <w:pPr>
              <w:spacing w:after="120"/>
            </w:pPr>
            <w:r w:rsidRPr="00A13B49">
              <w:lastRenderedPageBreak/>
              <w:t>Before prescribing MGF please</w:t>
            </w:r>
            <w:r w:rsidR="00747C8A">
              <w:t xml:space="preserve"> consider</w:t>
            </w:r>
            <w:r w:rsidRPr="00A13B49">
              <w:t xml:space="preserve"> the clinical pathway </w:t>
            </w:r>
            <w:r w:rsidR="00747C8A" w:rsidRPr="005063BD">
              <w:rPr>
                <w:u w:val="single"/>
              </w:rPr>
              <w:t>in the following order</w:t>
            </w:r>
            <w:r w:rsidR="00747C8A">
              <w:t xml:space="preserve"> </w:t>
            </w:r>
            <w:r w:rsidRPr="00A13B49">
              <w:t xml:space="preserve">to determine </w:t>
            </w:r>
            <w:r w:rsidR="00F966F5">
              <w:t xml:space="preserve">the most </w:t>
            </w:r>
            <w:r w:rsidRPr="00A13B49">
              <w:t>appropriate intervention</w:t>
            </w:r>
            <w:r w:rsidR="00747C8A">
              <w:t>/</w:t>
            </w:r>
            <w:r w:rsidRPr="00A13B49">
              <w:t xml:space="preserve">s to assist in or maintain </w:t>
            </w:r>
            <w:r w:rsidR="00294108">
              <w:t>the clients’</w:t>
            </w:r>
            <w:r w:rsidRPr="00A13B49">
              <w:t xml:space="preserve"> health and mobility, </w:t>
            </w:r>
            <w:r w:rsidR="00294108">
              <w:t xml:space="preserve">and </w:t>
            </w:r>
            <w:r w:rsidRPr="00A13B49">
              <w:t>lower limb management</w:t>
            </w:r>
            <w:r w:rsidR="00747C8A">
              <w:t>.</w:t>
            </w:r>
          </w:p>
          <w:p w14:paraId="3F1F6560" w14:textId="68F57BE1" w:rsidR="002A343E" w:rsidRPr="00A13B49" w:rsidRDefault="002A343E" w:rsidP="005063BD">
            <w:pPr>
              <w:pStyle w:val="ListParagraph"/>
              <w:numPr>
                <w:ilvl w:val="0"/>
                <w:numId w:val="17"/>
              </w:numPr>
              <w:spacing w:after="120"/>
              <w:ind w:left="714" w:hanging="357"/>
            </w:pPr>
            <w:r w:rsidRPr="00753EE1">
              <w:rPr>
                <w:b/>
              </w:rPr>
              <w:lastRenderedPageBreak/>
              <w:t>Stock footwear</w:t>
            </w:r>
            <w:r w:rsidR="00FD4AA7" w:rsidRPr="00753EE1">
              <w:rPr>
                <w:b/>
              </w:rPr>
              <w:t xml:space="preserve"> </w:t>
            </w:r>
            <w:r w:rsidR="00753EE1" w:rsidRPr="00753EE1">
              <w:rPr>
                <w:b/>
              </w:rPr>
              <w:t xml:space="preserve">- </w:t>
            </w:r>
            <w:r w:rsidR="00FD4AA7" w:rsidRPr="005063BD">
              <w:rPr>
                <w:i/>
              </w:rPr>
              <w:t>Not funded under MGF</w:t>
            </w:r>
            <w:r w:rsidRPr="005063BD">
              <w:br/>
            </w:r>
            <w:r w:rsidR="00412CCF">
              <w:t>C</w:t>
            </w:r>
            <w:r w:rsidR="008A7CA7">
              <w:t xml:space="preserve">lients </w:t>
            </w:r>
            <w:r w:rsidR="00412CCF">
              <w:t xml:space="preserve">are to be provided </w:t>
            </w:r>
            <w:r w:rsidRPr="00A13B49">
              <w:t xml:space="preserve">advice and education on the most suitable footwear for </w:t>
            </w:r>
            <w:r w:rsidR="008A7CA7">
              <w:t xml:space="preserve">their </w:t>
            </w:r>
            <w:r w:rsidRPr="00A13B49">
              <w:t>needs.</w:t>
            </w:r>
            <w:r w:rsidR="00FD4AA7">
              <w:t xml:space="preserve">   Some clients</w:t>
            </w:r>
            <w:r w:rsidR="00FD4AA7" w:rsidRPr="00A13B49">
              <w:t xml:space="preserve"> </w:t>
            </w:r>
            <w:r w:rsidR="00FD4AA7">
              <w:t xml:space="preserve">can benefit from </w:t>
            </w:r>
            <w:r w:rsidR="00FD4AA7" w:rsidRPr="00A13B49">
              <w:t xml:space="preserve">supportive, well-fitting and appropriate </w:t>
            </w:r>
            <w:r w:rsidR="00FD4AA7">
              <w:t xml:space="preserve">stock </w:t>
            </w:r>
            <w:r w:rsidR="00FD4AA7" w:rsidRPr="00A13B49">
              <w:t>footwear</w:t>
            </w:r>
            <w:r w:rsidR="00FD4AA7">
              <w:t xml:space="preserve"> </w:t>
            </w:r>
            <w:r w:rsidR="0054683C">
              <w:t>available through retail stores.</w:t>
            </w:r>
            <w:r w:rsidR="00FD4AA7" w:rsidRPr="00A13B49">
              <w:t xml:space="preserve">  </w:t>
            </w:r>
          </w:p>
          <w:p w14:paraId="150FEF78" w14:textId="1A6FD7CA" w:rsidR="002A343E" w:rsidRDefault="002A343E" w:rsidP="005063BD">
            <w:pPr>
              <w:pStyle w:val="ListParagraph"/>
              <w:numPr>
                <w:ilvl w:val="0"/>
                <w:numId w:val="17"/>
              </w:numPr>
              <w:spacing w:after="120"/>
              <w:ind w:left="714" w:hanging="357"/>
              <w:contextualSpacing w:val="0"/>
            </w:pPr>
            <w:r w:rsidRPr="00753EE1">
              <w:rPr>
                <w:b/>
              </w:rPr>
              <w:t>Corrective insoles or adjunct therapies</w:t>
            </w:r>
            <w:r w:rsidR="0054683C" w:rsidRPr="00753EE1">
              <w:rPr>
                <w:b/>
              </w:rPr>
              <w:t xml:space="preserve"> </w:t>
            </w:r>
            <w:r w:rsidR="00753EE1" w:rsidRPr="00753EE1">
              <w:rPr>
                <w:b/>
              </w:rPr>
              <w:t xml:space="preserve">- </w:t>
            </w:r>
            <w:r w:rsidR="0054683C" w:rsidRPr="005063BD">
              <w:rPr>
                <w:i/>
              </w:rPr>
              <w:t xml:space="preserve">Not funded under MGF but may be funded under the </w:t>
            </w:r>
            <w:hyperlink r:id="rId14" w:history="1">
              <w:r w:rsidR="0054683C" w:rsidRPr="005063BD">
                <w:rPr>
                  <w:rStyle w:val="Hyperlink"/>
                  <w:i/>
                </w:rPr>
                <w:t>Rehabilitation Appliances Program</w:t>
              </w:r>
            </w:hyperlink>
            <w:r w:rsidRPr="009B5EF1">
              <w:rPr>
                <w:b/>
              </w:rPr>
              <w:br/>
            </w:r>
            <w:r w:rsidR="00412CCF">
              <w:t>C</w:t>
            </w:r>
            <w:r w:rsidRPr="00A13B49">
              <w:t xml:space="preserve">onsider </w:t>
            </w:r>
            <w:r w:rsidR="0054683C">
              <w:t>if</w:t>
            </w:r>
            <w:r w:rsidR="00412CCF">
              <w:t xml:space="preserve"> clients require</w:t>
            </w:r>
            <w:r w:rsidR="0054683C">
              <w:t xml:space="preserve"> </w:t>
            </w:r>
            <w:r w:rsidRPr="00A13B49">
              <w:t xml:space="preserve">any additional therapies </w:t>
            </w:r>
            <w:r w:rsidR="00412CCF">
              <w:t xml:space="preserve">which </w:t>
            </w:r>
            <w:r w:rsidRPr="00A13B49">
              <w:t xml:space="preserve">may improve the fitting and comfort of stock footwear prior to prescribing MGF.  These could include customised ankle, foot and digital devices to re-align and support foot structures or padding to reduce and redistribute excessive forces.  </w:t>
            </w:r>
          </w:p>
          <w:p w14:paraId="2232F20E" w14:textId="5F57B1EE" w:rsidR="00294108" w:rsidRDefault="002A343E" w:rsidP="005063BD">
            <w:pPr>
              <w:pStyle w:val="ListParagraph"/>
              <w:numPr>
                <w:ilvl w:val="0"/>
                <w:numId w:val="17"/>
              </w:numPr>
              <w:spacing w:after="120"/>
              <w:ind w:left="714" w:hanging="357"/>
            </w:pPr>
            <w:r w:rsidRPr="00753EE1">
              <w:rPr>
                <w:b/>
              </w:rPr>
              <w:t>Modifications to stock footwear</w:t>
            </w:r>
            <w:r w:rsidR="0054683C" w:rsidRPr="00753EE1">
              <w:rPr>
                <w:b/>
              </w:rPr>
              <w:t xml:space="preserve"> </w:t>
            </w:r>
            <w:r w:rsidR="00753EE1" w:rsidRPr="00753EE1">
              <w:rPr>
                <w:b/>
              </w:rPr>
              <w:t xml:space="preserve">- </w:t>
            </w:r>
            <w:r w:rsidR="0054683C" w:rsidRPr="005063BD">
              <w:rPr>
                <w:i/>
              </w:rPr>
              <w:t>modifications and subsequent repairs of the modification</w:t>
            </w:r>
            <w:r w:rsidR="00411F0D">
              <w:rPr>
                <w:i/>
              </w:rPr>
              <w:t>s</w:t>
            </w:r>
            <w:r w:rsidR="0054683C" w:rsidRPr="005063BD">
              <w:rPr>
                <w:i/>
              </w:rPr>
              <w:t xml:space="preserve"> are funded through MGF</w:t>
            </w:r>
            <w:r w:rsidRPr="005063BD">
              <w:br/>
            </w:r>
            <w:r w:rsidR="00412CCF">
              <w:t>Clients may require s</w:t>
            </w:r>
            <w:r w:rsidRPr="00A13B49">
              <w:t xml:space="preserve">tock footwear </w:t>
            </w:r>
            <w:r w:rsidR="00412CCF">
              <w:t xml:space="preserve">to </w:t>
            </w:r>
            <w:r w:rsidRPr="00A13B49">
              <w:t>be modified to accommodat</w:t>
            </w:r>
            <w:r w:rsidR="00412CCF">
              <w:t>e</w:t>
            </w:r>
            <w:r w:rsidRPr="00A13B49">
              <w:t xml:space="preserve"> foot abnormalities and assist in better function prior to the consideration and prescription of MGF.  This applies to </w:t>
            </w:r>
            <w:r>
              <w:t>client</w:t>
            </w:r>
            <w:r w:rsidRPr="00A13B49">
              <w:t>s who do not meet the criteria for MGF but clinically require modifications to their own suitable self-purchased footwear.</w:t>
            </w:r>
          </w:p>
          <w:p w14:paraId="2B934903" w14:textId="77777777" w:rsidR="00294108" w:rsidRDefault="00294108" w:rsidP="00294108">
            <w:pPr>
              <w:spacing w:after="120"/>
              <w:ind w:left="735"/>
            </w:pPr>
            <w:r>
              <w:t xml:space="preserve">If prescribing modifications or repairs to existing footwear, specify the modifications or additions to be made to accommodate the foot function and structure. </w:t>
            </w:r>
          </w:p>
          <w:p w14:paraId="52DC28E0" w14:textId="57168BFC" w:rsidR="002A343E" w:rsidRDefault="002A343E" w:rsidP="005063BD">
            <w:pPr>
              <w:pStyle w:val="ListParagraph"/>
              <w:numPr>
                <w:ilvl w:val="0"/>
                <w:numId w:val="17"/>
              </w:numPr>
              <w:spacing w:after="120"/>
              <w:ind w:left="714" w:hanging="357"/>
            </w:pPr>
            <w:r w:rsidRPr="00753EE1">
              <w:rPr>
                <w:b/>
              </w:rPr>
              <w:t>Ready-made MGF</w:t>
            </w:r>
            <w:r w:rsidR="00753EE1" w:rsidRPr="00753EE1">
              <w:rPr>
                <w:b/>
              </w:rPr>
              <w:t xml:space="preserve"> - </w:t>
            </w:r>
            <w:r w:rsidR="0054683C" w:rsidRPr="005063BD">
              <w:rPr>
                <w:i/>
              </w:rPr>
              <w:t>funded through MGF</w:t>
            </w:r>
            <w:r w:rsidRPr="005063BD">
              <w:br/>
            </w:r>
            <w:r w:rsidR="00412CCF">
              <w:t xml:space="preserve">If </w:t>
            </w:r>
            <w:r w:rsidRPr="00A13B49">
              <w:t xml:space="preserve">the preceding interventions cannot accommodate a foot/ankle abnormality or deformity, then ready-made MGF should be </w:t>
            </w:r>
            <w:r w:rsidR="00412CCF">
              <w:t xml:space="preserve">considered </w:t>
            </w:r>
            <w:r w:rsidRPr="00A13B49">
              <w:t xml:space="preserve">next.  Primarily this </w:t>
            </w:r>
            <w:r w:rsidR="00411F0D">
              <w:t>MGF</w:t>
            </w:r>
            <w:r w:rsidR="00411F0D" w:rsidRPr="00A13B49">
              <w:t xml:space="preserve"> </w:t>
            </w:r>
            <w:r w:rsidRPr="00A13B49">
              <w:t>has added depth to the lasts and is available in up to three width fittings.</w:t>
            </w:r>
          </w:p>
          <w:p w14:paraId="4DE9E5A7" w14:textId="77777777" w:rsidR="00294108" w:rsidRDefault="00294108" w:rsidP="00BC714B">
            <w:pPr>
              <w:spacing w:after="120"/>
              <w:ind w:left="735"/>
            </w:pPr>
            <w:r>
              <w:t xml:space="preserve">If prescribing ready-made MGF, you can either: </w:t>
            </w:r>
          </w:p>
          <w:p w14:paraId="4F6D9C27" w14:textId="4769420A" w:rsidR="00294108" w:rsidRDefault="00294108" w:rsidP="005063BD">
            <w:pPr>
              <w:pStyle w:val="ListParagraph"/>
              <w:numPr>
                <w:ilvl w:val="0"/>
                <w:numId w:val="37"/>
              </w:numPr>
              <w:spacing w:after="120"/>
            </w:pPr>
            <w:r>
              <w:t xml:space="preserve">select a shoe from the </w:t>
            </w:r>
            <w:hyperlink r:id="rId15" w:history="1">
              <w:r w:rsidRPr="0073402D">
                <w:rPr>
                  <w:rStyle w:val="Hyperlink"/>
                </w:rPr>
                <w:t>MGF ready-made register</w:t>
              </w:r>
            </w:hyperlink>
            <w:r w:rsidR="00497B52">
              <w:rPr>
                <w:rStyle w:val="Hyperlink"/>
              </w:rPr>
              <w:t xml:space="preserve">: </w:t>
            </w:r>
            <w:r>
              <w:t>or</w:t>
            </w:r>
          </w:p>
          <w:p w14:paraId="3B0C68CC" w14:textId="77777777" w:rsidR="00294108" w:rsidRDefault="00294108" w:rsidP="005063BD">
            <w:pPr>
              <w:pStyle w:val="ListParagraph"/>
              <w:numPr>
                <w:ilvl w:val="0"/>
                <w:numId w:val="37"/>
              </w:numPr>
              <w:spacing w:after="120"/>
            </w:pPr>
            <w:r>
              <w:t xml:space="preserve">specify the features of the shoe required that can be sourced from the MGF ready-made register. </w:t>
            </w:r>
          </w:p>
          <w:p w14:paraId="090B66B4" w14:textId="77777777" w:rsidR="002A343E" w:rsidRDefault="00294108" w:rsidP="005063BD">
            <w:pPr>
              <w:spacing w:after="120"/>
              <w:ind w:left="735"/>
            </w:pPr>
            <w:r>
              <w:t xml:space="preserve">Ready-made MGF should already include the required shoe specification(s) e.g. if a velcro strap is required, prescribe a ready-made shoe that includes a velcro strap, rather than a lace-up shoe that requires modifying. </w:t>
            </w:r>
            <w:r w:rsidR="00BC714B">
              <w:t xml:space="preserve"> </w:t>
            </w:r>
          </w:p>
          <w:p w14:paraId="156FBED7" w14:textId="77777777" w:rsidR="00412CCF" w:rsidRDefault="00412CCF" w:rsidP="00412CCF">
            <w:pPr>
              <w:spacing w:after="120"/>
              <w:ind w:left="735"/>
            </w:pPr>
            <w:r w:rsidRPr="005063BD">
              <w:rPr>
                <w:b/>
              </w:rPr>
              <w:t>Note:</w:t>
            </w:r>
            <w:r>
              <w:t xml:space="preserve"> DVA does not fund stock footwear from retail stores or shoes sold by podiatrists. </w:t>
            </w:r>
          </w:p>
          <w:p w14:paraId="3DBA1762" w14:textId="77777777" w:rsidR="002A343E" w:rsidRDefault="002A343E" w:rsidP="005063BD">
            <w:pPr>
              <w:pStyle w:val="ListParagraph"/>
              <w:numPr>
                <w:ilvl w:val="0"/>
                <w:numId w:val="17"/>
              </w:numPr>
              <w:spacing w:after="120"/>
              <w:ind w:left="714" w:hanging="357"/>
            </w:pPr>
            <w:r w:rsidRPr="00AA6BC1">
              <w:rPr>
                <w:b/>
              </w:rPr>
              <w:t>Custom MGF</w:t>
            </w:r>
            <w:r w:rsidR="00753EE1">
              <w:rPr>
                <w:b/>
              </w:rPr>
              <w:t xml:space="preserve"> - </w:t>
            </w:r>
            <w:r w:rsidR="00753EE1" w:rsidRPr="00B63780">
              <w:rPr>
                <w:i/>
              </w:rPr>
              <w:t>funded through MGF</w:t>
            </w:r>
            <w:r>
              <w:rPr>
                <w:b/>
              </w:rPr>
              <w:br/>
            </w:r>
            <w:r w:rsidRPr="00A13B49">
              <w:t>When no other clinically suitable option remains then custom</w:t>
            </w:r>
            <w:r>
              <w:t xml:space="preserve"> made</w:t>
            </w:r>
            <w:r w:rsidRPr="00A13B49">
              <w:t xml:space="preserve"> footwear should be considered. </w:t>
            </w:r>
            <w:r w:rsidR="007D4BF7">
              <w:t xml:space="preserve"> </w:t>
            </w:r>
            <w:r w:rsidRPr="00A13B49">
              <w:t>This MGF is constructed from an individual specific shoe last and pattern made by the footwear supplier.</w:t>
            </w:r>
          </w:p>
          <w:p w14:paraId="0ECD863E" w14:textId="77777777" w:rsidR="00BC714B" w:rsidRDefault="00BC714B" w:rsidP="00BC714B">
            <w:pPr>
              <w:spacing w:after="120"/>
              <w:ind w:left="735"/>
            </w:pPr>
            <w:r>
              <w:t xml:space="preserve">If prescribing custom made MGF, you will need to specify: </w:t>
            </w:r>
          </w:p>
          <w:p w14:paraId="7DA3AA59" w14:textId="77777777" w:rsidR="00BC714B" w:rsidRDefault="00BF1DD5" w:rsidP="00BC714B">
            <w:pPr>
              <w:pStyle w:val="ListParagraph"/>
              <w:numPr>
                <w:ilvl w:val="0"/>
                <w:numId w:val="13"/>
              </w:numPr>
              <w:spacing w:after="120"/>
            </w:pPr>
            <w:r>
              <w:t>the shoe requirements; and</w:t>
            </w:r>
          </w:p>
          <w:p w14:paraId="55F2AA94" w14:textId="3E6615F4" w:rsidR="00411F0D" w:rsidRDefault="00BC714B" w:rsidP="0063663C">
            <w:pPr>
              <w:spacing w:after="120"/>
              <w:ind w:left="1049"/>
            </w:pPr>
            <w:r>
              <w:lastRenderedPageBreak/>
              <w:t xml:space="preserve">any additions to be made during the manufacture of the shoe to </w:t>
            </w:r>
            <w:r w:rsidRPr="004868B2">
              <w:t xml:space="preserve">accommodate the foot function and structure e.g. rocker bottom soles. </w:t>
            </w:r>
          </w:p>
          <w:p w14:paraId="2430B324" w14:textId="77777777" w:rsidR="00BC714B" w:rsidRPr="005063BD" w:rsidRDefault="00BC714B" w:rsidP="005063BD">
            <w:pPr>
              <w:pStyle w:val="ListParagraph"/>
              <w:numPr>
                <w:ilvl w:val="0"/>
                <w:numId w:val="17"/>
              </w:numPr>
              <w:spacing w:after="120"/>
              <w:rPr>
                <w:b/>
              </w:rPr>
            </w:pPr>
            <w:r w:rsidRPr="005063BD">
              <w:rPr>
                <w:b/>
              </w:rPr>
              <w:t>Recreational MGF</w:t>
            </w:r>
            <w:r w:rsidR="00753EE1">
              <w:rPr>
                <w:b/>
              </w:rPr>
              <w:t xml:space="preserve"> </w:t>
            </w:r>
            <w:r w:rsidR="00753EE1" w:rsidRPr="00B63780">
              <w:rPr>
                <w:b/>
              </w:rPr>
              <w:t xml:space="preserve">- </w:t>
            </w:r>
            <w:r w:rsidR="00753EE1" w:rsidRPr="00B63780">
              <w:rPr>
                <w:i/>
              </w:rPr>
              <w:t>funded through MGF</w:t>
            </w:r>
          </w:p>
          <w:p w14:paraId="7B553894" w14:textId="77777777" w:rsidR="00BC714B" w:rsidRPr="004868B2" w:rsidRDefault="00BF1DD5" w:rsidP="007D4BF7">
            <w:pPr>
              <w:spacing w:after="120"/>
              <w:ind w:left="746"/>
            </w:pPr>
            <w:r>
              <w:t xml:space="preserve">An additional pair of recreational MGF can be provided if client is participating in recreational sporting activity that requires </w:t>
            </w:r>
            <w:r w:rsidR="00BE7175">
              <w:t xml:space="preserve">a </w:t>
            </w:r>
            <w:r>
              <w:t xml:space="preserve">specific sole.  </w:t>
            </w:r>
            <w:r w:rsidR="00BC714B" w:rsidRPr="004868B2">
              <w:t>If prescribing recreational MGF</w:t>
            </w:r>
            <w:r w:rsidR="007D4BF7">
              <w:t xml:space="preserve">, </w:t>
            </w:r>
            <w:r w:rsidR="00BC714B">
              <w:t>ensure the client is</w:t>
            </w:r>
            <w:r w:rsidR="00BC714B" w:rsidRPr="004868B2">
              <w:t>:</w:t>
            </w:r>
          </w:p>
          <w:p w14:paraId="0F687111" w14:textId="77777777" w:rsidR="00BC714B" w:rsidRPr="004868B2" w:rsidRDefault="00BC714B" w:rsidP="005063BD">
            <w:pPr>
              <w:pStyle w:val="ListParagraph"/>
              <w:numPr>
                <w:ilvl w:val="0"/>
                <w:numId w:val="38"/>
              </w:numPr>
              <w:spacing w:after="120"/>
            </w:pPr>
            <w:r w:rsidRPr="004868B2">
              <w:t xml:space="preserve">already </w:t>
            </w:r>
            <w:r>
              <w:t>prescribed ready-made and/or custom</w:t>
            </w:r>
            <w:r w:rsidRPr="004868B2">
              <w:t xml:space="preserve"> MGF i.e. the recreational MGF cannot be the first pair of MGF received; and</w:t>
            </w:r>
          </w:p>
          <w:p w14:paraId="34C650D9" w14:textId="77777777" w:rsidR="002A343E" w:rsidRDefault="00BC714B" w:rsidP="005063BD">
            <w:pPr>
              <w:pStyle w:val="ListParagraph"/>
              <w:numPr>
                <w:ilvl w:val="0"/>
                <w:numId w:val="38"/>
              </w:numPr>
            </w:pPr>
            <w:r>
              <w:t xml:space="preserve">participating in a recreational sporting activity </w:t>
            </w:r>
            <w:r w:rsidRPr="004868B2">
              <w:t>requir</w:t>
            </w:r>
            <w:r>
              <w:t>ing</w:t>
            </w:r>
            <w:r w:rsidRPr="004868B2">
              <w:t xml:space="preserve"> specific soled footwear</w:t>
            </w:r>
            <w:r w:rsidR="007D4BF7">
              <w:t xml:space="preserve"> </w:t>
            </w:r>
            <w:r w:rsidRPr="004868B2">
              <w:t>e.g. bowling shoes, golf shoes</w:t>
            </w:r>
            <w:r>
              <w:t>.</w:t>
            </w:r>
          </w:p>
          <w:p w14:paraId="37186D19" w14:textId="77777777" w:rsidR="00997F8D" w:rsidRDefault="00997F8D" w:rsidP="005063BD"/>
          <w:p w14:paraId="0445BE39" w14:textId="12B6ECA2" w:rsidR="00997F8D" w:rsidRDefault="00997F8D" w:rsidP="005063BD">
            <w:r w:rsidRPr="005063BD">
              <w:t xml:space="preserve">See </w:t>
            </w:r>
            <w:hyperlink r:id="rId16" w:history="1">
              <w:r w:rsidRPr="000F7D77">
                <w:rPr>
                  <w:rStyle w:val="Hyperlink"/>
                </w:rPr>
                <w:t>Footwear Prescription – Flowchart to Clinical Pathway</w:t>
              </w:r>
            </w:hyperlink>
          </w:p>
          <w:p w14:paraId="2CEC8D79" w14:textId="1DF5F38E" w:rsidR="00C76595" w:rsidRDefault="00C76595" w:rsidP="005063BD"/>
        </w:tc>
      </w:tr>
      <w:tr w:rsidR="00B36A45" w:rsidRPr="00ED5632" w14:paraId="7563CB27" w14:textId="77777777" w:rsidTr="004877A9">
        <w:tc>
          <w:tcPr>
            <w:tcW w:w="2406" w:type="dxa"/>
          </w:tcPr>
          <w:p w14:paraId="70D299C3" w14:textId="51BC1743" w:rsidR="00B36A45" w:rsidRPr="00ED5632" w:rsidRDefault="009B5EF1" w:rsidP="003B0199">
            <w:pPr>
              <w:widowControl w:val="0"/>
              <w:spacing w:before="40"/>
              <w:rPr>
                <w:rFonts w:ascii="Calibri" w:hAnsi="Calibri"/>
                <w:b/>
              </w:rPr>
            </w:pPr>
            <w:r w:rsidRPr="00F9028F">
              <w:rPr>
                <w:rFonts w:ascii="Calibri" w:hAnsi="Calibri"/>
                <w:b/>
              </w:rPr>
              <w:lastRenderedPageBreak/>
              <w:t>MGF</w:t>
            </w:r>
            <w:r w:rsidR="00B36A45" w:rsidRPr="00F9028F">
              <w:rPr>
                <w:rFonts w:ascii="Calibri" w:hAnsi="Calibri"/>
                <w:b/>
              </w:rPr>
              <w:t xml:space="preserve"> for clients with diabetes</w:t>
            </w:r>
          </w:p>
        </w:tc>
        <w:tc>
          <w:tcPr>
            <w:tcW w:w="6945" w:type="dxa"/>
          </w:tcPr>
          <w:p w14:paraId="6B095350" w14:textId="77777777" w:rsidR="00221115" w:rsidRDefault="00221115" w:rsidP="00221115">
            <w:pPr>
              <w:spacing w:line="252" w:lineRule="auto"/>
            </w:pPr>
            <w:r>
              <w:t>MGF can be provided for clients with diabetes who have a foot risk status determined at the initial consultation as either:</w:t>
            </w:r>
          </w:p>
          <w:p w14:paraId="5FCE022C" w14:textId="77777777" w:rsidR="00221115" w:rsidRDefault="00221115" w:rsidP="00221115">
            <w:pPr>
              <w:numPr>
                <w:ilvl w:val="0"/>
                <w:numId w:val="45"/>
              </w:numPr>
              <w:spacing w:after="160" w:line="252" w:lineRule="auto"/>
              <w:contextualSpacing/>
            </w:pPr>
            <w:r>
              <w:rPr>
                <w:b/>
                <w:bCs/>
                <w:i/>
                <w:iCs/>
              </w:rPr>
              <w:t>Intermediate-risk of foot ulceration</w:t>
            </w:r>
            <w:r>
              <w:t xml:space="preserve">: only </w:t>
            </w:r>
            <w:r>
              <w:rPr>
                <w:b/>
                <w:bCs/>
                <w:u w:val="single"/>
              </w:rPr>
              <w:t>one</w:t>
            </w:r>
            <w:r>
              <w:t xml:space="preserve"> risk factor (either peripheral neuropathy, peripheral artery disease or foot deformity) and no previous foot ulcer or amputation; or</w:t>
            </w:r>
          </w:p>
          <w:p w14:paraId="7D363137" w14:textId="77777777" w:rsidR="00221115" w:rsidRDefault="00221115" w:rsidP="00221115">
            <w:pPr>
              <w:numPr>
                <w:ilvl w:val="0"/>
                <w:numId w:val="45"/>
              </w:numPr>
              <w:spacing w:after="160" w:line="252" w:lineRule="auto"/>
              <w:contextualSpacing/>
            </w:pPr>
            <w:r>
              <w:rPr>
                <w:b/>
                <w:bCs/>
                <w:i/>
                <w:iCs/>
              </w:rPr>
              <w:t>High</w:t>
            </w:r>
            <w:r>
              <w:rPr>
                <w:b/>
                <w:bCs/>
              </w:rPr>
              <w:t>-risk of foot ulceration</w:t>
            </w:r>
            <w:r>
              <w:t xml:space="preserve">: </w:t>
            </w:r>
            <w:r>
              <w:rPr>
                <w:b/>
                <w:bCs/>
                <w:i/>
                <w:iCs/>
                <w:u w:val="single"/>
              </w:rPr>
              <w:t>two or three</w:t>
            </w:r>
            <w:r>
              <w:rPr>
                <w:i/>
                <w:iCs/>
              </w:rPr>
              <w:t xml:space="preserve"> risk factors</w:t>
            </w:r>
            <w:r>
              <w:t xml:space="preserve"> (peripheral neuropathy, peripheral artery disease or foot deformity) or with a previous foot ulcer or amputation.   </w:t>
            </w:r>
          </w:p>
          <w:p w14:paraId="230B0604" w14:textId="746E9618" w:rsidR="00221115" w:rsidRDefault="00221115" w:rsidP="00221115">
            <w:pPr>
              <w:spacing w:after="160" w:line="252" w:lineRule="auto"/>
            </w:pPr>
            <w:r>
              <w:t>These classifications are in accordance with the National Health and Medical Research Council (NHMRC)</w:t>
            </w:r>
            <w:r w:rsidR="00706C98">
              <w:t>.</w:t>
            </w:r>
          </w:p>
          <w:p w14:paraId="079FAFF5" w14:textId="65DBF2D1" w:rsidR="005063BD" w:rsidRDefault="00871E37" w:rsidP="005063BD">
            <w:pPr>
              <w:rPr>
                <w:rFonts w:cstheme="minorHAnsi"/>
                <w:spacing w:val="-4"/>
              </w:rPr>
            </w:pPr>
            <w:r>
              <w:t>The prescribed MGF should be reviewed periodically to ensure it still fits, protects and supports the foot.</w:t>
            </w:r>
            <w:r w:rsidR="00F9028F">
              <w:t xml:space="preserve"> </w:t>
            </w:r>
          </w:p>
          <w:p w14:paraId="5A61CF8A" w14:textId="57833ACC" w:rsidR="009B5EF1" w:rsidRDefault="009B5EF1" w:rsidP="00871E37"/>
        </w:tc>
      </w:tr>
      <w:tr w:rsidR="00AA6BC1" w:rsidRPr="00ED5632" w14:paraId="4FF65A51" w14:textId="77777777" w:rsidTr="005063BD">
        <w:tc>
          <w:tcPr>
            <w:tcW w:w="2406" w:type="dxa"/>
          </w:tcPr>
          <w:p w14:paraId="2A65C2F9" w14:textId="21DCFAC6" w:rsidR="003B0199" w:rsidRDefault="00E308F4" w:rsidP="003B0199">
            <w:pPr>
              <w:widowControl w:val="0"/>
              <w:spacing w:before="40"/>
              <w:rPr>
                <w:rFonts w:ascii="Calibri" w:hAnsi="Calibri"/>
                <w:b/>
              </w:rPr>
            </w:pPr>
            <w:r w:rsidRPr="00ED5632">
              <w:rPr>
                <w:rFonts w:ascii="Calibri" w:hAnsi="Calibri"/>
                <w:b/>
              </w:rPr>
              <w:t>Request for item</w:t>
            </w:r>
          </w:p>
          <w:p w14:paraId="1CF5910B" w14:textId="77777777" w:rsidR="000169AA" w:rsidRDefault="000169AA" w:rsidP="003B0199">
            <w:pPr>
              <w:widowControl w:val="0"/>
              <w:spacing w:before="40"/>
              <w:rPr>
                <w:rFonts w:ascii="Calibri" w:hAnsi="Calibri"/>
                <w:b/>
              </w:rPr>
            </w:pPr>
          </w:p>
          <w:p w14:paraId="13CA0A85" w14:textId="77777777" w:rsidR="000169AA" w:rsidRDefault="000169AA" w:rsidP="003B0199">
            <w:pPr>
              <w:widowControl w:val="0"/>
              <w:spacing w:before="40"/>
              <w:rPr>
                <w:rFonts w:ascii="Calibri" w:hAnsi="Calibri"/>
                <w:b/>
              </w:rPr>
            </w:pPr>
          </w:p>
          <w:p w14:paraId="49025AA5" w14:textId="77777777" w:rsidR="000169AA" w:rsidRDefault="000169AA" w:rsidP="003B0199">
            <w:pPr>
              <w:widowControl w:val="0"/>
              <w:spacing w:before="40"/>
              <w:rPr>
                <w:rFonts w:ascii="Calibri" w:hAnsi="Calibri"/>
                <w:b/>
              </w:rPr>
            </w:pPr>
          </w:p>
          <w:p w14:paraId="7A5C4CF8" w14:textId="77777777" w:rsidR="000169AA" w:rsidRDefault="000169AA" w:rsidP="003B0199">
            <w:pPr>
              <w:widowControl w:val="0"/>
              <w:spacing w:before="40"/>
              <w:rPr>
                <w:rFonts w:ascii="Calibri" w:hAnsi="Calibri"/>
                <w:b/>
              </w:rPr>
            </w:pPr>
          </w:p>
          <w:p w14:paraId="4201CEEA" w14:textId="77777777" w:rsidR="000169AA" w:rsidRDefault="000169AA" w:rsidP="003B0199">
            <w:pPr>
              <w:widowControl w:val="0"/>
              <w:spacing w:before="40"/>
              <w:rPr>
                <w:rFonts w:ascii="Calibri" w:hAnsi="Calibri"/>
                <w:b/>
              </w:rPr>
            </w:pPr>
          </w:p>
          <w:p w14:paraId="5A6BB48F" w14:textId="77777777" w:rsidR="000169AA" w:rsidRDefault="000169AA" w:rsidP="003B0199">
            <w:pPr>
              <w:widowControl w:val="0"/>
              <w:spacing w:before="40"/>
              <w:rPr>
                <w:rFonts w:ascii="Calibri" w:hAnsi="Calibri"/>
                <w:b/>
              </w:rPr>
            </w:pPr>
          </w:p>
          <w:p w14:paraId="70FAABB6" w14:textId="77777777" w:rsidR="000169AA" w:rsidRDefault="000169AA" w:rsidP="003B0199">
            <w:pPr>
              <w:widowControl w:val="0"/>
              <w:spacing w:before="40"/>
              <w:rPr>
                <w:rFonts w:ascii="Calibri" w:hAnsi="Calibri"/>
                <w:b/>
              </w:rPr>
            </w:pPr>
          </w:p>
          <w:p w14:paraId="5B9A562F" w14:textId="77777777" w:rsidR="000169AA" w:rsidRDefault="000169AA" w:rsidP="003B0199">
            <w:pPr>
              <w:widowControl w:val="0"/>
              <w:spacing w:before="40"/>
              <w:rPr>
                <w:rFonts w:ascii="Calibri" w:hAnsi="Calibri"/>
                <w:b/>
              </w:rPr>
            </w:pPr>
          </w:p>
          <w:p w14:paraId="4AE926A9" w14:textId="77777777" w:rsidR="000169AA" w:rsidRDefault="000169AA" w:rsidP="003B0199">
            <w:pPr>
              <w:widowControl w:val="0"/>
              <w:spacing w:before="40"/>
              <w:rPr>
                <w:rFonts w:ascii="Calibri" w:hAnsi="Calibri"/>
                <w:b/>
              </w:rPr>
            </w:pPr>
          </w:p>
          <w:p w14:paraId="6D7CF636" w14:textId="77777777" w:rsidR="000169AA" w:rsidRDefault="000169AA" w:rsidP="003B0199">
            <w:pPr>
              <w:widowControl w:val="0"/>
              <w:spacing w:before="40"/>
              <w:rPr>
                <w:rFonts w:ascii="Calibri" w:hAnsi="Calibri"/>
                <w:b/>
              </w:rPr>
            </w:pPr>
          </w:p>
          <w:p w14:paraId="47C38A52" w14:textId="77777777" w:rsidR="00385B17" w:rsidRPr="00ED5632" w:rsidRDefault="00385B17" w:rsidP="005063BD">
            <w:pPr>
              <w:widowControl w:val="0"/>
              <w:spacing w:before="40"/>
              <w:rPr>
                <w:b/>
              </w:rPr>
            </w:pPr>
          </w:p>
        </w:tc>
        <w:tc>
          <w:tcPr>
            <w:tcW w:w="6945" w:type="dxa"/>
          </w:tcPr>
          <w:p w14:paraId="339E3692" w14:textId="7DBB9047" w:rsidR="006E705B" w:rsidRDefault="00BE7175" w:rsidP="00706C98">
            <w:pPr>
              <w:pStyle w:val="ListParagraph"/>
              <w:numPr>
                <w:ilvl w:val="0"/>
                <w:numId w:val="39"/>
              </w:numPr>
              <w:ind w:left="360"/>
            </w:pPr>
            <w:r>
              <w:t xml:space="preserve">Check if the client has been </w:t>
            </w:r>
            <w:r w:rsidR="006E705B">
              <w:t xml:space="preserve">supplied </w:t>
            </w:r>
            <w:r w:rsidR="0073135A" w:rsidRPr="00A13B49">
              <w:t xml:space="preserve">MGF </w:t>
            </w:r>
            <w:r w:rsidR="006E705B">
              <w:t xml:space="preserve">through DVA </w:t>
            </w:r>
            <w:r>
              <w:t>previously</w:t>
            </w:r>
            <w:r w:rsidR="006E705B">
              <w:t>.</w:t>
            </w:r>
            <w:r w:rsidR="0073135A" w:rsidRPr="00A13B49">
              <w:t xml:space="preserve"> </w:t>
            </w:r>
            <w:r w:rsidR="0073135A">
              <w:t xml:space="preserve"> </w:t>
            </w:r>
            <w:r w:rsidR="006E705B">
              <w:t xml:space="preserve">If </w:t>
            </w:r>
            <w:r w:rsidR="0073135A" w:rsidRPr="00A13B49">
              <w:t xml:space="preserve">the </w:t>
            </w:r>
            <w:r w:rsidR="0073135A">
              <w:t>client</w:t>
            </w:r>
            <w:r w:rsidR="0073135A" w:rsidRPr="00A13B49">
              <w:t xml:space="preserve"> </w:t>
            </w:r>
            <w:r w:rsidR="00412CCF">
              <w:t xml:space="preserve">is </w:t>
            </w:r>
            <w:r w:rsidR="0073135A" w:rsidRPr="00A13B49">
              <w:t xml:space="preserve">unable to confirm previous supply then </w:t>
            </w:r>
            <w:r w:rsidR="0073135A">
              <w:t xml:space="preserve">the assessing health provider should contact </w:t>
            </w:r>
            <w:r w:rsidR="0073135A" w:rsidRPr="00A13B49">
              <w:t>DVA for any MGF history</w:t>
            </w:r>
            <w:r w:rsidR="0073135A">
              <w:t xml:space="preserve"> and include this on the prescription form.</w:t>
            </w:r>
          </w:p>
          <w:p w14:paraId="57A03D27" w14:textId="77777777" w:rsidR="006E705B" w:rsidRDefault="006E705B" w:rsidP="00706C98">
            <w:pPr>
              <w:pStyle w:val="ListParagraph"/>
              <w:numPr>
                <w:ilvl w:val="1"/>
                <w:numId w:val="39"/>
              </w:numPr>
              <w:ind w:left="1080"/>
            </w:pPr>
            <w:r w:rsidRPr="005063BD">
              <w:rPr>
                <w:u w:val="single"/>
              </w:rPr>
              <w:t>If there is no history</w:t>
            </w:r>
            <w:r>
              <w:t xml:space="preserve"> - conduct a thorough assessment and follow the clinical pathway (above) to decide on the best treatment.</w:t>
            </w:r>
          </w:p>
          <w:p w14:paraId="3956F143" w14:textId="0F6D076F" w:rsidR="006E705B" w:rsidRDefault="006E705B" w:rsidP="00706C98">
            <w:pPr>
              <w:pStyle w:val="ListParagraph"/>
              <w:numPr>
                <w:ilvl w:val="1"/>
                <w:numId w:val="39"/>
              </w:numPr>
              <w:spacing w:after="120"/>
              <w:ind w:left="1074" w:hanging="357"/>
            </w:pPr>
            <w:r w:rsidRPr="005063BD">
              <w:rPr>
                <w:u w:val="single"/>
              </w:rPr>
              <w:t>If there is history</w:t>
            </w:r>
            <w:r>
              <w:t xml:space="preserve"> – review </w:t>
            </w:r>
            <w:r w:rsidR="00F93997">
              <w:t xml:space="preserve">previous </w:t>
            </w:r>
            <w:r w:rsidR="00BD19AB">
              <w:t>records and prescriptions</w:t>
            </w:r>
            <w:r w:rsidR="00F93997">
              <w:t xml:space="preserve">. Note </w:t>
            </w:r>
            <w:r w:rsidR="007F021D">
              <w:t>the date of issue and if supply is within the limits.</w:t>
            </w:r>
          </w:p>
          <w:p w14:paraId="64C2E239" w14:textId="77777777" w:rsidR="00A07BF7" w:rsidRPr="00A13B49" w:rsidRDefault="00A07BF7" w:rsidP="00706C98">
            <w:pPr>
              <w:pStyle w:val="ListParagraph"/>
              <w:spacing w:after="120"/>
              <w:ind w:left="1074"/>
            </w:pPr>
          </w:p>
          <w:p w14:paraId="577266FD" w14:textId="5E59609F" w:rsidR="006A1E36" w:rsidRPr="005063BD" w:rsidRDefault="006E705B" w:rsidP="00706C98">
            <w:pPr>
              <w:pStyle w:val="ListParagraph"/>
              <w:numPr>
                <w:ilvl w:val="0"/>
                <w:numId w:val="39"/>
              </w:numPr>
              <w:spacing w:after="120"/>
              <w:ind w:left="360"/>
              <w:rPr>
                <w:rFonts w:ascii="Calibri" w:hAnsi="Calibri"/>
              </w:rPr>
            </w:pPr>
            <w:r>
              <w:t xml:space="preserve">Complete the </w:t>
            </w:r>
            <w:hyperlink r:id="rId17" w:history="1">
              <w:r w:rsidRPr="007F021D">
                <w:rPr>
                  <w:rStyle w:val="Hyperlink"/>
                  <w:rFonts w:ascii="Calibri" w:hAnsi="Calibri"/>
                </w:rPr>
                <w:t>D0668 – Medical Grade Footwear (MGF) Prescription Form</w:t>
              </w:r>
            </w:hyperlink>
            <w:r w:rsidR="006A1E36">
              <w:rPr>
                <w:rStyle w:val="Hyperlink"/>
                <w:rFonts w:ascii="Calibri" w:hAnsi="Calibri"/>
              </w:rPr>
              <w:t xml:space="preserve">. </w:t>
            </w:r>
            <w:r w:rsidR="008302AA">
              <w:rPr>
                <w:rStyle w:val="Hyperlink"/>
                <w:rFonts w:ascii="Calibri" w:hAnsi="Calibri"/>
              </w:rPr>
              <w:t xml:space="preserve"> </w:t>
            </w:r>
            <w:r w:rsidR="006A1E36" w:rsidRPr="005063BD">
              <w:rPr>
                <w:rStyle w:val="Hyperlink"/>
                <w:rFonts w:ascii="Calibri" w:hAnsi="Calibri"/>
                <w:color w:val="auto"/>
                <w:u w:val="none"/>
              </w:rPr>
              <w:t>C</w:t>
            </w:r>
            <w:r w:rsidR="006A1E36" w:rsidRPr="005063BD">
              <w:rPr>
                <w:rFonts w:ascii="Calibri" w:hAnsi="Calibri"/>
              </w:rPr>
              <w:t xml:space="preserve">learly detail the shoe features e.g. contour last, high toebox, extended heel counter, rocker sole, velcro closures.  This is preferable to requesting a specific style of shoe – unless it has been supplied previously and its suitability been proven.  </w:t>
            </w:r>
          </w:p>
          <w:p w14:paraId="48EE1DC9" w14:textId="0D04A349" w:rsidR="00221115" w:rsidRDefault="00F07FF1" w:rsidP="00706C98">
            <w:pPr>
              <w:spacing w:after="120"/>
              <w:ind w:left="360"/>
              <w:contextualSpacing/>
            </w:pPr>
            <w:r w:rsidRPr="008967A7">
              <w:rPr>
                <w:rStyle w:val="Hyperlink"/>
                <w:rFonts w:ascii="Calibri" w:hAnsi="Calibri"/>
                <w:b/>
                <w:color w:val="auto"/>
                <w:u w:val="none"/>
              </w:rPr>
              <w:t xml:space="preserve">If the client is a Gold Card holder </w:t>
            </w:r>
            <w:r w:rsidRPr="008967A7">
              <w:rPr>
                <w:rStyle w:val="Hyperlink"/>
                <w:rFonts w:ascii="Calibri" w:hAnsi="Calibri"/>
                <w:color w:val="auto"/>
                <w:u w:val="none"/>
              </w:rPr>
              <w:t xml:space="preserve">– send the form directly to the </w:t>
            </w:r>
            <w:hyperlink r:id="rId18" w:anchor="contracted-suppliers" w:history="1">
              <w:r w:rsidRPr="008967A7">
                <w:rPr>
                  <w:rStyle w:val="Hyperlink"/>
                  <w:rFonts w:ascii="Calibri" w:hAnsi="Calibri"/>
                </w:rPr>
                <w:t>DVA contracted supplier</w:t>
              </w:r>
            </w:hyperlink>
            <w:r>
              <w:rPr>
                <w:rStyle w:val="Hyperlink"/>
                <w:rFonts w:ascii="Calibri" w:hAnsi="Calibri"/>
                <w:color w:val="auto"/>
                <w:u w:val="none"/>
              </w:rPr>
              <w:t xml:space="preserve"> or provide</w:t>
            </w:r>
            <w:r w:rsidRPr="007F23E1">
              <w:t xml:space="preserve"> a copy of the prescription form to the </w:t>
            </w:r>
            <w:r>
              <w:lastRenderedPageBreak/>
              <w:t xml:space="preserve">client </w:t>
            </w:r>
            <w:r w:rsidRPr="007F23E1">
              <w:t>with t</w:t>
            </w:r>
            <w:r w:rsidR="003546A0">
              <w:t>he details of the preferred MGF contracted supplier</w:t>
            </w:r>
            <w:r w:rsidRPr="007F23E1">
              <w:t xml:space="preserve"> to make an appointment for fitting of MGF</w:t>
            </w:r>
            <w:r>
              <w:t>.</w:t>
            </w:r>
            <w:r w:rsidR="00221115">
              <w:t xml:space="preserve"> </w:t>
            </w:r>
          </w:p>
          <w:p w14:paraId="0F23BEF6" w14:textId="77777777" w:rsidR="00221115" w:rsidRDefault="00221115" w:rsidP="00706C98">
            <w:pPr>
              <w:spacing w:after="120"/>
              <w:ind w:left="360"/>
              <w:contextualSpacing/>
              <w:rPr>
                <w:rStyle w:val="Hyperlink"/>
                <w:rFonts w:ascii="Calibri" w:hAnsi="Calibri"/>
                <w:color w:val="auto"/>
                <w:u w:val="none"/>
              </w:rPr>
            </w:pPr>
          </w:p>
          <w:p w14:paraId="3E281EDC" w14:textId="00AE359A" w:rsidR="00F07FF1" w:rsidRPr="00E01008" w:rsidRDefault="00F07FF1" w:rsidP="00706C98">
            <w:pPr>
              <w:spacing w:after="120"/>
              <w:ind w:left="360"/>
            </w:pPr>
            <w:r w:rsidRPr="008967A7">
              <w:rPr>
                <w:rStyle w:val="Hyperlink"/>
                <w:rFonts w:ascii="Calibri" w:hAnsi="Calibri"/>
                <w:b/>
                <w:color w:val="auto"/>
                <w:u w:val="none"/>
              </w:rPr>
              <w:t xml:space="preserve">If the client is a White Card holder– </w:t>
            </w:r>
            <w:r w:rsidRPr="008967A7">
              <w:t xml:space="preserve">ring DVA on </w:t>
            </w:r>
            <w:r w:rsidRPr="00B63780">
              <w:rPr>
                <w:rFonts w:ascii="Calibri" w:hAnsi="Calibri"/>
                <w:b/>
              </w:rPr>
              <w:t>1800 550 457</w:t>
            </w:r>
            <w:r w:rsidRPr="00B63780">
              <w:rPr>
                <w:rFonts w:ascii="Calibri" w:hAnsi="Calibri"/>
              </w:rPr>
              <w:t xml:space="preserve"> or </w:t>
            </w:r>
            <w:r w:rsidRPr="00E01008">
              <w:rPr>
                <w:rStyle w:val="Hyperlink"/>
                <w:rFonts w:ascii="Calibri" w:hAnsi="Calibri"/>
                <w:color w:val="auto"/>
                <w:u w:val="none"/>
              </w:rPr>
              <w:t>email a</w:t>
            </w:r>
            <w:r w:rsidRPr="00FD34F1">
              <w:rPr>
                <w:rStyle w:val="Hyperlink"/>
                <w:rFonts w:ascii="Calibri" w:hAnsi="Calibri"/>
                <w:color w:val="auto"/>
                <w:u w:val="none"/>
              </w:rPr>
              <w:t xml:space="preserve">t </w:t>
            </w:r>
            <w:hyperlink r:id="rId19" w:history="1">
              <w:r w:rsidRPr="00FD34F1">
                <w:rPr>
                  <w:color w:val="0563C1" w:themeColor="hyperlink"/>
                  <w:u w:val="single"/>
                </w:rPr>
                <w:t>RAPgeneralenquiries@dva.gov.au</w:t>
              </w:r>
            </w:hyperlink>
            <w:r w:rsidRPr="00E01008">
              <w:rPr>
                <w:color w:val="0563C1" w:themeColor="hyperlink"/>
              </w:rPr>
              <w:t xml:space="preserve"> </w:t>
            </w:r>
            <w:r w:rsidRPr="00B63780">
              <w:rPr>
                <w:rFonts w:ascii="Calibri" w:hAnsi="Calibri"/>
              </w:rPr>
              <w:t>to check eligibility under the client’s accepted disability(ies)</w:t>
            </w:r>
            <w:r w:rsidRPr="00ED5632">
              <w:t>.</w:t>
            </w:r>
            <w:r w:rsidRPr="00B63780">
              <w:rPr>
                <w:rFonts w:ascii="Calibri" w:hAnsi="Calibri"/>
              </w:rPr>
              <w:t xml:space="preserve"> </w:t>
            </w:r>
            <w:r w:rsidR="008302AA">
              <w:rPr>
                <w:rFonts w:ascii="Calibri" w:hAnsi="Calibri"/>
              </w:rPr>
              <w:t xml:space="preserve"> </w:t>
            </w:r>
            <w:r w:rsidRPr="00B63780">
              <w:rPr>
                <w:rFonts w:ascii="Calibri" w:hAnsi="Calibri"/>
              </w:rPr>
              <w:t xml:space="preserve">If the client is eligible, send the completed form directly to the </w:t>
            </w:r>
            <w:hyperlink r:id="rId20" w:anchor="contracted-suppliers" w:history="1">
              <w:r w:rsidRPr="00E01008">
                <w:rPr>
                  <w:rStyle w:val="Hyperlink"/>
                  <w:rFonts w:ascii="Calibri" w:hAnsi="Calibri"/>
                </w:rPr>
                <w:t>DVA contracted supplier</w:t>
              </w:r>
            </w:hyperlink>
            <w:r w:rsidRPr="00B63780">
              <w:rPr>
                <w:rFonts w:ascii="Calibri" w:hAnsi="Calibri"/>
              </w:rPr>
              <w:t xml:space="preserve">. The supplier will seek prior approval from DVA.  DVA will then send notification to the assessing health provider, contracted supplier and the client. </w:t>
            </w:r>
          </w:p>
          <w:p w14:paraId="11BDA0F9" w14:textId="3489E450" w:rsidR="0073135A" w:rsidRDefault="007F021D" w:rsidP="00706C98">
            <w:pPr>
              <w:ind w:left="386"/>
            </w:pPr>
            <w:r w:rsidRPr="005063BD">
              <w:rPr>
                <w:b/>
              </w:rPr>
              <w:t xml:space="preserve">Note: </w:t>
            </w:r>
            <w:r w:rsidR="008302AA" w:rsidRPr="005063BD">
              <w:t xml:space="preserve">Assessing </w:t>
            </w:r>
            <w:r w:rsidR="00412CCF" w:rsidRPr="005063BD">
              <w:t>health providers can contact</w:t>
            </w:r>
            <w:r w:rsidR="00412CCF">
              <w:rPr>
                <w:b/>
              </w:rPr>
              <w:t xml:space="preserve"> </w:t>
            </w:r>
            <w:r w:rsidR="001910DE" w:rsidRPr="00F07FF1">
              <w:t>MGF suppliers and DVA podiatry a</w:t>
            </w:r>
            <w:r w:rsidR="0073135A" w:rsidRPr="00F07FF1">
              <w:t xml:space="preserve">dvisers </w:t>
            </w:r>
            <w:r w:rsidR="00E1103F">
              <w:t xml:space="preserve">to discuss </w:t>
            </w:r>
            <w:r w:rsidR="0073135A" w:rsidRPr="00F07FF1">
              <w:t xml:space="preserve">difficult or complex cases. This </w:t>
            </w:r>
            <w:r w:rsidRPr="00F07FF1">
              <w:t xml:space="preserve">can reduce delays and ensure </w:t>
            </w:r>
            <w:r w:rsidR="0073135A" w:rsidRPr="00F07FF1">
              <w:t>clients</w:t>
            </w:r>
            <w:r w:rsidRPr="00F07FF1">
              <w:t xml:space="preserve"> get the most clinically appropriate footwear</w:t>
            </w:r>
            <w:r w:rsidR="008302AA">
              <w:t xml:space="preserve"> (See </w:t>
            </w:r>
            <w:r w:rsidR="008302AA" w:rsidRPr="00301413">
              <w:rPr>
                <w:i/>
              </w:rPr>
              <w:t>Health Provider Hotline</w:t>
            </w:r>
            <w:r w:rsidR="008302AA">
              <w:rPr>
                <w:i/>
              </w:rPr>
              <w:t xml:space="preserve"> </w:t>
            </w:r>
            <w:r w:rsidR="008302AA">
              <w:t>section below)</w:t>
            </w:r>
            <w:r w:rsidR="0073135A" w:rsidRPr="00F07FF1">
              <w:t xml:space="preserve">.  </w:t>
            </w:r>
          </w:p>
          <w:p w14:paraId="7AF749B3" w14:textId="77777777" w:rsidR="008302AA" w:rsidRPr="00F07FF1" w:rsidRDefault="008302AA" w:rsidP="00706C98">
            <w:pPr>
              <w:ind w:left="386"/>
            </w:pPr>
          </w:p>
          <w:p w14:paraId="35FE576E" w14:textId="50869A80" w:rsidR="005F30F5" w:rsidRDefault="005F30F5" w:rsidP="00706C98">
            <w:pPr>
              <w:pStyle w:val="ListParagraph"/>
              <w:numPr>
                <w:ilvl w:val="0"/>
                <w:numId w:val="39"/>
              </w:numPr>
              <w:ind w:left="360"/>
            </w:pPr>
            <w:r w:rsidRPr="006A1E36">
              <w:rPr>
                <w:b/>
              </w:rPr>
              <w:t>Follow-up assessment</w:t>
            </w:r>
            <w:r w:rsidRPr="00A13B49">
              <w:t xml:space="preserve"> </w:t>
            </w:r>
            <w:r>
              <w:t xml:space="preserve">– within 1-2 months </w:t>
            </w:r>
            <w:r w:rsidRPr="00A13B49">
              <w:t>of the newly supplied MGF</w:t>
            </w:r>
            <w:r w:rsidR="008302AA">
              <w:t xml:space="preserve">, assessing health providers should </w:t>
            </w:r>
            <w:r>
              <w:t xml:space="preserve">check the quality, fit and suitability of </w:t>
            </w:r>
            <w:r w:rsidR="008302AA">
              <w:t xml:space="preserve">the supplied </w:t>
            </w:r>
            <w:r>
              <w:t>MG</w:t>
            </w:r>
            <w:r w:rsidR="008302AA">
              <w:t>F.  If</w:t>
            </w:r>
            <w:r w:rsidR="006A1E36">
              <w:t xml:space="preserve"> a</w:t>
            </w:r>
            <w:r w:rsidRPr="00A13B49">
              <w:t xml:space="preserve">ny problems </w:t>
            </w:r>
            <w:r w:rsidR="006A1E36">
              <w:t xml:space="preserve">are </w:t>
            </w:r>
            <w:r w:rsidRPr="00A13B49">
              <w:t>identified at this stage</w:t>
            </w:r>
            <w:r w:rsidR="008302AA">
              <w:t xml:space="preserve">, </w:t>
            </w:r>
            <w:r w:rsidRPr="00A13B49">
              <w:t>liaise with the</w:t>
            </w:r>
            <w:r>
              <w:t xml:space="preserve"> MGF</w:t>
            </w:r>
            <w:r w:rsidRPr="00A13B49">
              <w:t xml:space="preserve"> supplier to adequately resolve </w:t>
            </w:r>
            <w:r w:rsidR="008302AA">
              <w:t xml:space="preserve">the issue </w:t>
            </w:r>
            <w:r w:rsidRPr="00A13B49">
              <w:t xml:space="preserve">in a timely manner. </w:t>
            </w:r>
          </w:p>
          <w:p w14:paraId="210ECDB5" w14:textId="175C0577" w:rsidR="00C04055" w:rsidRPr="00C04055" w:rsidRDefault="00C04055" w:rsidP="005063BD">
            <w:pPr>
              <w:autoSpaceDE w:val="0"/>
              <w:autoSpaceDN w:val="0"/>
              <w:adjustRightInd w:val="0"/>
              <w:ind w:left="720"/>
              <w:outlineLvl w:val="0"/>
              <w:rPr>
                <w:rFonts w:ascii="Calibri" w:hAnsi="Calibri"/>
              </w:rPr>
            </w:pPr>
          </w:p>
        </w:tc>
      </w:tr>
    </w:tbl>
    <w:p w14:paraId="38F3ACCB" w14:textId="404A6CD0" w:rsidR="00AA6BC1" w:rsidRDefault="00AA6BC1"/>
    <w:tbl>
      <w:tblPr>
        <w:tblStyle w:val="TableGrid"/>
        <w:tblW w:w="9351" w:type="dxa"/>
        <w:tblLayout w:type="fixed"/>
        <w:tblLook w:val="04A0" w:firstRow="1" w:lastRow="0" w:firstColumn="1" w:lastColumn="0" w:noHBand="0" w:noVBand="1"/>
      </w:tblPr>
      <w:tblGrid>
        <w:gridCol w:w="2393"/>
        <w:gridCol w:w="6958"/>
      </w:tblGrid>
      <w:tr w:rsidR="00372ABF" w:rsidRPr="00ED5632" w14:paraId="48BB0245" w14:textId="77777777" w:rsidTr="00F9028F">
        <w:tc>
          <w:tcPr>
            <w:tcW w:w="2393" w:type="dxa"/>
          </w:tcPr>
          <w:p w14:paraId="1242CB9A" w14:textId="41EAC4CF" w:rsidR="00372ABF" w:rsidRPr="00ED5632" w:rsidRDefault="00372ABF" w:rsidP="003B0199">
            <w:pPr>
              <w:widowControl w:val="0"/>
              <w:spacing w:before="40"/>
              <w:rPr>
                <w:rFonts w:ascii="Calibri" w:hAnsi="Calibri"/>
                <w:b/>
              </w:rPr>
            </w:pPr>
            <w:r>
              <w:rPr>
                <w:rFonts w:ascii="Calibri" w:hAnsi="Calibri"/>
                <w:b/>
              </w:rPr>
              <w:t>MGF supply</w:t>
            </w:r>
            <w:r w:rsidR="00A870E7">
              <w:rPr>
                <w:rFonts w:ascii="Calibri" w:hAnsi="Calibri"/>
                <w:b/>
              </w:rPr>
              <w:t xml:space="preserve"> limits</w:t>
            </w:r>
          </w:p>
        </w:tc>
        <w:tc>
          <w:tcPr>
            <w:tcW w:w="6958" w:type="dxa"/>
          </w:tcPr>
          <w:p w14:paraId="27899688" w14:textId="668D064C" w:rsidR="00372ABF" w:rsidRPr="004868B2" w:rsidRDefault="004C7115" w:rsidP="005063BD">
            <w:pPr>
              <w:pStyle w:val="Heading2"/>
              <w:numPr>
                <w:ilvl w:val="0"/>
                <w:numId w:val="0"/>
              </w:numPr>
              <w:spacing w:before="0" w:after="0"/>
              <w:outlineLvl w:val="1"/>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Number of shoes and frequency of supply</w:t>
            </w:r>
          </w:p>
          <w:p w14:paraId="6460B319" w14:textId="45C7FDE0" w:rsidR="00372ABF" w:rsidRPr="004868B2" w:rsidRDefault="00372ABF" w:rsidP="005063BD">
            <w:pPr>
              <w:autoSpaceDE w:val="0"/>
              <w:autoSpaceDN w:val="0"/>
              <w:adjustRightInd w:val="0"/>
              <w:spacing w:after="120"/>
              <w:rPr>
                <w:rFonts w:cs="Arial"/>
              </w:rPr>
            </w:pPr>
            <w:r>
              <w:rPr>
                <w:szCs w:val="24"/>
                <w:u w:val="single"/>
              </w:rPr>
              <w:t>Clients can access up to two</w:t>
            </w:r>
            <w:r w:rsidR="008E4D06">
              <w:rPr>
                <w:szCs w:val="24"/>
                <w:u w:val="single"/>
              </w:rPr>
              <w:t xml:space="preserve"> </w:t>
            </w:r>
            <w:r>
              <w:rPr>
                <w:szCs w:val="24"/>
                <w:u w:val="single"/>
              </w:rPr>
              <w:t xml:space="preserve">(2) </w:t>
            </w:r>
            <w:r w:rsidRPr="004868B2">
              <w:rPr>
                <w:szCs w:val="24"/>
                <w:u w:val="single"/>
              </w:rPr>
              <w:t>pairs of MGF at any one time.</w:t>
            </w:r>
            <w:r w:rsidRPr="004868B2">
              <w:rPr>
                <w:b/>
                <w:szCs w:val="24"/>
              </w:rPr>
              <w:t xml:space="preserve"> </w:t>
            </w:r>
            <w:r>
              <w:rPr>
                <w:b/>
                <w:szCs w:val="24"/>
              </w:rPr>
              <w:t xml:space="preserve"> </w:t>
            </w:r>
            <w:r w:rsidRPr="004868B2">
              <w:rPr>
                <w:rFonts w:cs="Arial"/>
              </w:rPr>
              <w:t xml:space="preserve">Existing MGF should only be replaced when it is no longer repairable, serviceable, or a </w:t>
            </w:r>
            <w:r>
              <w:rPr>
                <w:rFonts w:cs="Arial"/>
              </w:rPr>
              <w:t>client</w:t>
            </w:r>
            <w:r w:rsidRPr="004868B2">
              <w:rPr>
                <w:rFonts w:cs="Arial"/>
              </w:rPr>
              <w:t xml:space="preserve">’s clinical condition changes and different MGF is therefore required.  </w:t>
            </w:r>
          </w:p>
          <w:p w14:paraId="2CFC974E" w14:textId="77777777" w:rsidR="004C7115" w:rsidRPr="005063BD" w:rsidRDefault="004C7115" w:rsidP="00372ABF">
            <w:pPr>
              <w:autoSpaceDE w:val="0"/>
              <w:autoSpaceDN w:val="0"/>
              <w:adjustRightInd w:val="0"/>
              <w:rPr>
                <w:rFonts w:cs="Arial"/>
                <w:b/>
              </w:rPr>
            </w:pPr>
            <w:r w:rsidRPr="005063BD">
              <w:rPr>
                <w:rFonts w:cs="Arial"/>
                <w:b/>
              </w:rPr>
              <w:t xml:space="preserve">Recreational Shoes </w:t>
            </w:r>
          </w:p>
          <w:p w14:paraId="71456147" w14:textId="25E5CB80" w:rsidR="00372ABF" w:rsidRPr="004868B2" w:rsidRDefault="00372ABF" w:rsidP="005063BD">
            <w:pPr>
              <w:autoSpaceDE w:val="0"/>
              <w:autoSpaceDN w:val="0"/>
              <w:adjustRightInd w:val="0"/>
              <w:spacing w:after="120"/>
            </w:pPr>
            <w:r>
              <w:rPr>
                <w:rFonts w:cs="Arial"/>
              </w:rPr>
              <w:t xml:space="preserve">Clients may </w:t>
            </w:r>
            <w:r>
              <w:t>also be eligible for</w:t>
            </w:r>
            <w:r w:rsidRPr="004868B2">
              <w:t xml:space="preserve"> </w:t>
            </w:r>
            <w:r>
              <w:t>an</w:t>
            </w:r>
            <w:r w:rsidRPr="004868B2">
              <w:t xml:space="preserve"> additional pair of recreational</w:t>
            </w:r>
            <w:r>
              <w:t xml:space="preserve"> </w:t>
            </w:r>
            <w:r w:rsidR="00A870E7">
              <w:t>MGF (e.g.</w:t>
            </w:r>
            <w:r w:rsidRPr="004868B2">
              <w:t xml:space="preserve"> bowling or golf shoes) if the </w:t>
            </w:r>
            <w:r>
              <w:t>client</w:t>
            </w:r>
            <w:r w:rsidRPr="004868B2">
              <w:t xml:space="preserve"> is </w:t>
            </w:r>
            <w:r>
              <w:t>participating in recreational sporting activity</w:t>
            </w:r>
            <w:r w:rsidRPr="004868B2">
              <w:t>.</w:t>
            </w:r>
            <w:r>
              <w:t xml:space="preserve">  </w:t>
            </w:r>
          </w:p>
          <w:p w14:paraId="7848B40A" w14:textId="77777777" w:rsidR="00372ABF" w:rsidRPr="006277AD" w:rsidRDefault="00372ABF" w:rsidP="005063BD">
            <w:pPr>
              <w:pStyle w:val="Heading2"/>
              <w:numPr>
                <w:ilvl w:val="0"/>
                <w:numId w:val="0"/>
              </w:numPr>
              <w:spacing w:before="0"/>
              <w:outlineLvl w:val="1"/>
              <w:rPr>
                <w:rFonts w:asciiTheme="minorHAnsi" w:eastAsiaTheme="minorHAnsi" w:hAnsiTheme="minorHAnsi" w:cstheme="minorBidi"/>
                <w:sz w:val="22"/>
                <w:szCs w:val="22"/>
                <w:lang w:eastAsia="en-US"/>
              </w:rPr>
            </w:pPr>
            <w:r w:rsidRPr="006277AD">
              <w:rPr>
                <w:rFonts w:asciiTheme="minorHAnsi" w:eastAsiaTheme="minorHAnsi" w:hAnsiTheme="minorHAnsi" w:cstheme="minorBidi"/>
                <w:sz w:val="22"/>
                <w:szCs w:val="22"/>
                <w:lang w:eastAsia="en-US"/>
              </w:rPr>
              <w:t>Returning and Replacing Footwear</w:t>
            </w:r>
          </w:p>
          <w:p w14:paraId="182FD2AE" w14:textId="77777777" w:rsidR="00372ABF" w:rsidRDefault="00372ABF" w:rsidP="005063BD">
            <w:pPr>
              <w:spacing w:after="120"/>
            </w:pPr>
            <w:r w:rsidRPr="006277AD">
              <w:t xml:space="preserve">Frequency of supply is based on the condition of the </w:t>
            </w:r>
            <w:r>
              <w:t xml:space="preserve">existing </w:t>
            </w:r>
            <w:r w:rsidRPr="006277AD">
              <w:t xml:space="preserve">MGF (its wear and tear) or </w:t>
            </w:r>
            <w:r>
              <w:t xml:space="preserve">a </w:t>
            </w:r>
            <w:r w:rsidRPr="006277AD">
              <w:t>change in</w:t>
            </w:r>
            <w:r>
              <w:t xml:space="preserve"> the client’s foot structure/medical condition. </w:t>
            </w:r>
          </w:p>
          <w:p w14:paraId="345674AE" w14:textId="7D6EB1A8" w:rsidR="00372ABF" w:rsidRPr="006277AD" w:rsidRDefault="00372ABF" w:rsidP="005063BD">
            <w:pPr>
              <w:spacing w:after="120"/>
            </w:pPr>
            <w:r w:rsidRPr="006277AD">
              <w:t>When</w:t>
            </w:r>
            <w:r w:rsidR="00A870E7">
              <w:t xml:space="preserve"> the client’s MGF has</w:t>
            </w:r>
            <w:r>
              <w:t xml:space="preserve"> been replaced, client should be advised about the safety concerns/risks of continued usage of previous issued MGF which no longer meets their clinical needs.  In some instances, it may be appropriate to return the used/unsupportive MGF to the assessi</w:t>
            </w:r>
            <w:r w:rsidR="00A870E7">
              <w:t xml:space="preserve">ng health provider for disposal due to safety risks. </w:t>
            </w:r>
            <w:r w:rsidR="008E4D06">
              <w:t xml:space="preserve"> Clients can be encouraged to return old MGF.</w:t>
            </w:r>
          </w:p>
          <w:p w14:paraId="3296230F" w14:textId="77777777" w:rsidR="00372ABF" w:rsidRPr="004868B2" w:rsidRDefault="00372ABF" w:rsidP="005063BD">
            <w:pPr>
              <w:pStyle w:val="Heading2"/>
              <w:numPr>
                <w:ilvl w:val="0"/>
                <w:numId w:val="0"/>
              </w:numPr>
              <w:spacing w:before="0"/>
              <w:outlineLvl w:val="1"/>
              <w:rPr>
                <w:rFonts w:asciiTheme="minorHAnsi" w:eastAsiaTheme="minorHAnsi" w:hAnsiTheme="minorHAnsi" w:cstheme="minorBidi"/>
                <w:sz w:val="22"/>
                <w:szCs w:val="22"/>
                <w:lang w:eastAsia="en-US"/>
              </w:rPr>
            </w:pPr>
            <w:r w:rsidRPr="004868B2">
              <w:rPr>
                <w:rFonts w:asciiTheme="minorHAnsi" w:eastAsiaTheme="minorHAnsi" w:hAnsiTheme="minorHAnsi" w:cstheme="minorBidi"/>
                <w:sz w:val="22"/>
                <w:szCs w:val="22"/>
                <w:lang w:eastAsia="en-US"/>
              </w:rPr>
              <w:t>Repairs and Modification</w:t>
            </w:r>
          </w:p>
          <w:p w14:paraId="1CECEFDF" w14:textId="565F6BC5" w:rsidR="00F9028F" w:rsidRPr="00ED5632" w:rsidRDefault="00372ABF" w:rsidP="0063663C">
            <w:pPr>
              <w:rPr>
                <w:rFonts w:ascii="Calibri" w:hAnsi="Calibri"/>
              </w:rPr>
            </w:pPr>
            <w:r w:rsidRPr="004868B2">
              <w:t xml:space="preserve">Repairs and modifications to MGF should be requested on the </w:t>
            </w:r>
            <w:r w:rsidR="00A870E7">
              <w:t xml:space="preserve">MGF </w:t>
            </w:r>
            <w:r w:rsidRPr="004868B2">
              <w:t>prescription form.  They can be done by the original MGF supplier or a general shoe repairer</w:t>
            </w:r>
            <w:r w:rsidR="005F30F5">
              <w:t>,</w:t>
            </w:r>
            <w:r w:rsidRPr="004868B2">
              <w:t xml:space="preserve"> if the footwear is out of warranty.  Repairs outside of the warranty period may be claimed directly by MGF suppliers according to the </w:t>
            </w:r>
            <w:hyperlink r:id="rId21" w:history="1">
              <w:r w:rsidRPr="00706C98">
                <w:rPr>
                  <w:rStyle w:val="Hyperlink"/>
                </w:rPr>
                <w:t>MGF Schedule of Fees</w:t>
              </w:r>
            </w:hyperlink>
            <w:r w:rsidRPr="004868B2">
              <w:t>.</w:t>
            </w:r>
            <w:r>
              <w:t xml:space="preserve"> </w:t>
            </w:r>
            <w:r w:rsidRPr="00A13B49">
              <w:rPr>
                <w:rFonts w:cs="Arial"/>
              </w:rPr>
              <w:br w:type="page"/>
            </w:r>
          </w:p>
        </w:tc>
      </w:tr>
      <w:tr w:rsidR="00372ABF" w14:paraId="1CF1409A" w14:textId="77777777" w:rsidTr="00F9028F">
        <w:trPr>
          <w:trHeight w:val="1344"/>
        </w:trPr>
        <w:tc>
          <w:tcPr>
            <w:tcW w:w="2393" w:type="dxa"/>
          </w:tcPr>
          <w:p w14:paraId="4952FD1D" w14:textId="37D1675D" w:rsidR="00372ABF" w:rsidRPr="00ED5632" w:rsidRDefault="00372ABF" w:rsidP="009F5A1F">
            <w:pPr>
              <w:widowControl w:val="0"/>
              <w:spacing w:before="40"/>
              <w:rPr>
                <w:rFonts w:ascii="Calibri" w:hAnsi="Calibri"/>
                <w:b/>
              </w:rPr>
            </w:pPr>
            <w:r>
              <w:rPr>
                <w:rFonts w:ascii="Calibri" w:hAnsi="Calibri"/>
                <w:b/>
              </w:rPr>
              <w:lastRenderedPageBreak/>
              <w:t>Suppliers</w:t>
            </w:r>
          </w:p>
        </w:tc>
        <w:tc>
          <w:tcPr>
            <w:tcW w:w="6958" w:type="dxa"/>
          </w:tcPr>
          <w:p w14:paraId="174AC877" w14:textId="322DBB2E" w:rsidR="00372ABF" w:rsidRDefault="00372ABF" w:rsidP="005063BD">
            <w:pPr>
              <w:spacing w:after="120"/>
            </w:pPr>
            <w:bookmarkStart w:id="2" w:name="_Toc433657328"/>
            <w:r w:rsidRPr="00A13B49">
              <w:rPr>
                <w:color w:val="000000"/>
              </w:rPr>
              <w:t xml:space="preserve">DVA has contractual agreements with MGF suppliers.  </w:t>
            </w:r>
            <w:r>
              <w:t xml:space="preserve">A list of contracted </w:t>
            </w:r>
            <w:r w:rsidRPr="0059789D">
              <w:t xml:space="preserve">MGF suppliers is available for viewing and downloading on DVA’s website via: </w:t>
            </w:r>
            <w:r w:rsidR="00047A5D">
              <w:t xml:space="preserve"> </w:t>
            </w:r>
            <w:hyperlink r:id="rId22" w:history="1">
              <w:r w:rsidR="008F2305" w:rsidRPr="00520DAB">
                <w:rPr>
                  <w:rStyle w:val="Hyperlink"/>
                </w:rPr>
                <w:t>www.dva.gov.au/mgfsuppliers</w:t>
              </w:r>
            </w:hyperlink>
          </w:p>
          <w:p w14:paraId="1A63C261" w14:textId="77777777" w:rsidR="00372ABF" w:rsidRPr="00A13B49" w:rsidRDefault="00372ABF" w:rsidP="005063BD">
            <w:pPr>
              <w:spacing w:after="120"/>
              <w:ind w:right="746"/>
            </w:pPr>
            <w:r>
              <w:t>MGF s</w:t>
            </w:r>
            <w:r w:rsidRPr="00A13B49">
              <w:t xml:space="preserve">uppliers should work closely with assessing health providers to ensure effective assessment, prescription, selection and fitting of MGF. </w:t>
            </w:r>
          </w:p>
          <w:p w14:paraId="40D09502" w14:textId="7C6408EA" w:rsidR="00372ABF" w:rsidRPr="004868B2" w:rsidRDefault="00372ABF" w:rsidP="005063BD">
            <w:pPr>
              <w:spacing w:after="120"/>
            </w:pPr>
            <w:r w:rsidRPr="00A13B49">
              <w:t>After pr</w:t>
            </w:r>
            <w:r>
              <w:t xml:space="preserve">escribing/requesting MGF from a MGF </w:t>
            </w:r>
            <w:r w:rsidRPr="00A13B49">
              <w:t xml:space="preserve">supplier the appropriate footwear should be issued to the </w:t>
            </w:r>
            <w:r>
              <w:t>client</w:t>
            </w:r>
            <w:r w:rsidRPr="00A13B49">
              <w:t xml:space="preserve"> within a reasonable timeframe taking into consideration where it is being sourced from, and any modifications that are required prior to issuing. </w:t>
            </w:r>
            <w:bookmarkEnd w:id="2"/>
          </w:p>
        </w:tc>
      </w:tr>
      <w:tr w:rsidR="00372ABF" w14:paraId="08E4DB30" w14:textId="77777777" w:rsidTr="00F9028F">
        <w:tc>
          <w:tcPr>
            <w:tcW w:w="2393" w:type="dxa"/>
          </w:tcPr>
          <w:p w14:paraId="6E48035F" w14:textId="24B6E3EF" w:rsidR="00372ABF" w:rsidRDefault="00372ABF" w:rsidP="009F5A1F">
            <w:pPr>
              <w:widowControl w:val="0"/>
              <w:spacing w:before="40"/>
              <w:rPr>
                <w:rFonts w:ascii="Calibri" w:hAnsi="Calibri"/>
                <w:b/>
              </w:rPr>
            </w:pPr>
            <w:r>
              <w:rPr>
                <w:rFonts w:ascii="Calibri" w:hAnsi="Calibri"/>
                <w:b/>
              </w:rPr>
              <w:t>Warranties</w:t>
            </w:r>
          </w:p>
        </w:tc>
        <w:tc>
          <w:tcPr>
            <w:tcW w:w="6958" w:type="dxa"/>
          </w:tcPr>
          <w:p w14:paraId="5BB652E3" w14:textId="77777777" w:rsidR="00372ABF" w:rsidRPr="00A13B49" w:rsidRDefault="00372ABF" w:rsidP="005063BD">
            <w:pPr>
              <w:spacing w:after="120"/>
            </w:pPr>
            <w:r>
              <w:t>N</w:t>
            </w:r>
            <w:r w:rsidRPr="00A13B49">
              <w:t>ew</w:t>
            </w:r>
            <w:r>
              <w:t xml:space="preserve"> ready-made and custom made </w:t>
            </w:r>
            <w:r w:rsidRPr="00A13B49">
              <w:t>MGF have a 12 month warranty for workmanship, materials and fitting.</w:t>
            </w:r>
          </w:p>
          <w:p w14:paraId="634B27DB" w14:textId="77777777" w:rsidR="00372ABF" w:rsidRDefault="00372ABF" w:rsidP="005063BD">
            <w:pPr>
              <w:contextualSpacing/>
            </w:pPr>
            <w:r w:rsidRPr="00A13B49">
              <w:t>Repairs and modifications have a 3 month warranty.</w:t>
            </w:r>
            <w:r>
              <w:t xml:space="preserve"> </w:t>
            </w:r>
          </w:p>
          <w:p w14:paraId="6B5722F4" w14:textId="7FEA8708" w:rsidR="00F9028F" w:rsidRPr="00AA6BC1" w:rsidRDefault="00F9028F" w:rsidP="005063BD">
            <w:pPr>
              <w:contextualSpacing/>
            </w:pPr>
          </w:p>
        </w:tc>
      </w:tr>
      <w:tr w:rsidR="00372ABF" w14:paraId="60E9CF35" w14:textId="77777777" w:rsidTr="00F9028F">
        <w:tc>
          <w:tcPr>
            <w:tcW w:w="2393" w:type="dxa"/>
          </w:tcPr>
          <w:p w14:paraId="3A069B95" w14:textId="205BA040" w:rsidR="00372ABF" w:rsidRDefault="00372ABF" w:rsidP="009F5A1F">
            <w:pPr>
              <w:widowControl w:val="0"/>
              <w:spacing w:before="40"/>
              <w:rPr>
                <w:rFonts w:ascii="Calibri" w:hAnsi="Calibri"/>
                <w:b/>
              </w:rPr>
            </w:pPr>
            <w:r>
              <w:rPr>
                <w:rFonts w:ascii="Calibri" w:hAnsi="Calibri"/>
                <w:b/>
              </w:rPr>
              <w:t>Complex Cases</w:t>
            </w:r>
          </w:p>
        </w:tc>
        <w:tc>
          <w:tcPr>
            <w:tcW w:w="6958" w:type="dxa"/>
          </w:tcPr>
          <w:p w14:paraId="2A8B6657" w14:textId="77777777" w:rsidR="00372ABF" w:rsidRDefault="00372ABF" w:rsidP="00372ABF">
            <w:r w:rsidRPr="00A13B49">
              <w:t>Complex cases should be managed jointly by the assessing health provider and MGF supplier to ensure timeliness of the process and cost-effectiveness of the service.</w:t>
            </w:r>
            <w:r>
              <w:t xml:space="preserve">  </w:t>
            </w:r>
            <w:r w:rsidRPr="00A13B49">
              <w:t>Where issues cannot be resolved between the</w:t>
            </w:r>
            <w:r>
              <w:t xml:space="preserve"> client</w:t>
            </w:r>
            <w:r w:rsidRPr="00A13B49">
              <w:t>, assessing health provider and supplier</w:t>
            </w:r>
            <w:r>
              <w:t>, DVA</w:t>
            </w:r>
            <w:r w:rsidRPr="00A13B49">
              <w:t xml:space="preserve"> should be contacted</w:t>
            </w:r>
            <w:r>
              <w:t xml:space="preserve"> for further advice. </w:t>
            </w:r>
          </w:p>
          <w:p w14:paraId="3693D89D" w14:textId="77777777" w:rsidR="00372ABF" w:rsidRPr="00A13B49" w:rsidRDefault="00372ABF" w:rsidP="00C04055"/>
        </w:tc>
      </w:tr>
      <w:tr w:rsidR="00372ABF" w14:paraId="71010C80" w14:textId="77777777" w:rsidTr="00F9028F">
        <w:tc>
          <w:tcPr>
            <w:tcW w:w="2393" w:type="dxa"/>
          </w:tcPr>
          <w:p w14:paraId="65DD04E6" w14:textId="1827B0E6" w:rsidR="00372ABF" w:rsidRPr="00372ABF" w:rsidRDefault="00372ABF" w:rsidP="005063BD">
            <w:pPr>
              <w:rPr>
                <w:rFonts w:ascii="Calibri" w:hAnsi="Calibri"/>
                <w:b/>
              </w:rPr>
            </w:pPr>
            <w:r w:rsidRPr="00654906">
              <w:rPr>
                <w:rFonts w:ascii="Calibri" w:hAnsi="Calibri"/>
                <w:b/>
              </w:rPr>
              <w:t xml:space="preserve">Home visits by </w:t>
            </w:r>
            <w:r w:rsidRPr="00E8382B">
              <w:rPr>
                <w:rFonts w:ascii="Calibri" w:hAnsi="Calibri"/>
                <w:b/>
              </w:rPr>
              <w:t>Suppliers</w:t>
            </w:r>
          </w:p>
        </w:tc>
        <w:tc>
          <w:tcPr>
            <w:tcW w:w="6958" w:type="dxa"/>
          </w:tcPr>
          <w:p w14:paraId="6B11E2FD" w14:textId="463F4436" w:rsidR="00984223" w:rsidRDefault="00DF11A1" w:rsidP="00372ABF">
            <w:r>
              <w:t xml:space="preserve">Most clients will see </w:t>
            </w:r>
            <w:r w:rsidR="00372ABF" w:rsidRPr="00A13B49">
              <w:t xml:space="preserve">MGF suppliers </w:t>
            </w:r>
            <w:r w:rsidR="00984223">
              <w:t xml:space="preserve">in their </w:t>
            </w:r>
            <w:r w:rsidR="00372ABF" w:rsidRPr="00A13B49">
              <w:t>room</w:t>
            </w:r>
            <w:r w:rsidR="00984223">
              <w:t xml:space="preserve">s. </w:t>
            </w:r>
            <w:r w:rsidR="00372ABF" w:rsidRPr="00A13B49">
              <w:t xml:space="preserve"> </w:t>
            </w:r>
            <w:r w:rsidR="00984223">
              <w:t xml:space="preserve"> </w:t>
            </w:r>
          </w:p>
          <w:p w14:paraId="341661D8" w14:textId="77777777" w:rsidR="00C07EF5" w:rsidRDefault="00C07EF5" w:rsidP="00372ABF"/>
          <w:p w14:paraId="2FD4D1CD" w14:textId="01DEA753" w:rsidR="00E8382B" w:rsidRPr="00A13B49" w:rsidRDefault="00984223" w:rsidP="00372ABF">
            <w:r>
              <w:t xml:space="preserve">Some clients with restricted mobility or for medical reasons are confined to home may require a home visit.  </w:t>
            </w:r>
            <w:r w:rsidR="00372ABF" w:rsidRPr="00A13B49">
              <w:t xml:space="preserve">Home visits by </w:t>
            </w:r>
            <w:r w:rsidR="00372ABF">
              <w:t xml:space="preserve">MGF </w:t>
            </w:r>
            <w:r w:rsidR="00372ABF" w:rsidRPr="00A13B49">
              <w:t xml:space="preserve">suppliers must be requested by the assessing health provider for </w:t>
            </w:r>
            <w:r>
              <w:t xml:space="preserve">the </w:t>
            </w:r>
            <w:r w:rsidR="00372ABF">
              <w:t>client</w:t>
            </w:r>
            <w:r>
              <w:t xml:space="preserve"> </w:t>
            </w:r>
            <w:r w:rsidR="00372ABF" w:rsidRPr="00A13B49">
              <w:t>– i.e</w:t>
            </w:r>
            <w:r w:rsidR="00372ABF">
              <w:t>.</w:t>
            </w:r>
            <w:r w:rsidR="00372ABF" w:rsidRPr="00A13B49">
              <w:t xml:space="preserve"> where either the assessing he</w:t>
            </w:r>
            <w:r w:rsidR="00372ABF">
              <w:t xml:space="preserve">alth provider </w:t>
            </w:r>
            <w:r w:rsidR="00372ABF" w:rsidRPr="00A13B49">
              <w:t xml:space="preserve">themselves provide home visits for that </w:t>
            </w:r>
            <w:r w:rsidR="00372ABF">
              <w:t>client</w:t>
            </w:r>
            <w:r w:rsidR="00372ABF" w:rsidRPr="00A13B49">
              <w:t>.</w:t>
            </w:r>
          </w:p>
          <w:p w14:paraId="45DE020A" w14:textId="77777777" w:rsidR="00372ABF" w:rsidRPr="00A13B49" w:rsidRDefault="00372ABF" w:rsidP="0073402D">
            <w:r>
              <w:t xml:space="preserve"> </w:t>
            </w:r>
          </w:p>
        </w:tc>
      </w:tr>
      <w:tr w:rsidR="00536E0E" w14:paraId="5968A611" w14:textId="77777777" w:rsidTr="00F9028F">
        <w:tc>
          <w:tcPr>
            <w:tcW w:w="2393" w:type="dxa"/>
          </w:tcPr>
          <w:p w14:paraId="6E79E955" w14:textId="70E06A26" w:rsidR="00536E0E" w:rsidRPr="00654906" w:rsidRDefault="00536E0E" w:rsidP="00536E0E">
            <w:pPr>
              <w:rPr>
                <w:rFonts w:ascii="Calibri" w:hAnsi="Calibri"/>
                <w:b/>
              </w:rPr>
            </w:pPr>
            <w:r w:rsidRPr="00C04055">
              <w:rPr>
                <w:rFonts w:ascii="Calibri" w:hAnsi="Calibri"/>
                <w:b/>
              </w:rPr>
              <w:t>Modifications to stock footwear</w:t>
            </w:r>
          </w:p>
        </w:tc>
        <w:tc>
          <w:tcPr>
            <w:tcW w:w="6958" w:type="dxa"/>
          </w:tcPr>
          <w:p w14:paraId="6C552372" w14:textId="77777777" w:rsidR="00536E0E" w:rsidRDefault="00536E0E" w:rsidP="00536E0E">
            <w:pPr>
              <w:spacing w:after="120"/>
            </w:pPr>
            <w:r w:rsidRPr="00A13B49">
              <w:t xml:space="preserve">Where a </w:t>
            </w:r>
            <w:r>
              <w:t>client</w:t>
            </w:r>
            <w:r w:rsidRPr="00A13B49">
              <w:t xml:space="preserve"> does not meet the criteria for MGF but clinically requires modifications to their own suitable self-purchased footwear, the assessing health provider may refer them to a contracted supplier</w:t>
            </w:r>
            <w:r>
              <w:t xml:space="preserve"> </w:t>
            </w:r>
            <w:r w:rsidRPr="00A13B49">
              <w:t xml:space="preserve">with a prescription outlining the clinical reason and type of modification required.  The MGF prescription form should be completed detailing the clinical information for the modifications.  </w:t>
            </w:r>
          </w:p>
          <w:p w14:paraId="193DBF22" w14:textId="77777777" w:rsidR="00536E0E" w:rsidRPr="00BA7208" w:rsidRDefault="00536E0E" w:rsidP="00536E0E">
            <w:r w:rsidRPr="00A13B49">
              <w:t>Modifications can be made to three pairs of footwear per annum</w:t>
            </w:r>
            <w:r>
              <w:t>.</w:t>
            </w:r>
            <w:r w:rsidRPr="00A13B49">
              <w:rPr>
                <w:sz w:val="20"/>
              </w:rPr>
              <w:t xml:space="preserve">  </w:t>
            </w:r>
          </w:p>
          <w:p w14:paraId="55F95617" w14:textId="77777777" w:rsidR="00536E0E" w:rsidRDefault="00536E0E" w:rsidP="00536E0E"/>
        </w:tc>
      </w:tr>
      <w:tr w:rsidR="00536E0E" w14:paraId="5A83100E" w14:textId="77777777" w:rsidTr="00F9028F">
        <w:tc>
          <w:tcPr>
            <w:tcW w:w="9351" w:type="dxa"/>
            <w:gridSpan w:val="2"/>
            <w:shd w:val="clear" w:color="auto" w:fill="D9D9D9" w:themeFill="background1" w:themeFillShade="D9"/>
          </w:tcPr>
          <w:p w14:paraId="686DE1FA" w14:textId="49B1CB6A" w:rsidR="00536E0E" w:rsidRPr="005063BD" w:rsidRDefault="00536E0E" w:rsidP="00536E0E">
            <w:pPr>
              <w:rPr>
                <w:b/>
                <w:sz w:val="28"/>
                <w:szCs w:val="28"/>
              </w:rPr>
            </w:pPr>
            <w:r w:rsidRPr="00654906">
              <w:rPr>
                <w:b/>
                <w:sz w:val="28"/>
                <w:szCs w:val="28"/>
              </w:rPr>
              <w:t>Additional information</w:t>
            </w:r>
            <w:r>
              <w:rPr>
                <w:b/>
                <w:sz w:val="28"/>
                <w:szCs w:val="28"/>
              </w:rPr>
              <w:t xml:space="preserve"> </w:t>
            </w:r>
          </w:p>
        </w:tc>
      </w:tr>
      <w:tr w:rsidR="00536E0E" w14:paraId="13A75D3B" w14:textId="77777777" w:rsidTr="00F9028F">
        <w:tc>
          <w:tcPr>
            <w:tcW w:w="2393" w:type="dxa"/>
          </w:tcPr>
          <w:p w14:paraId="153D8E78" w14:textId="44D57CC5" w:rsidR="00536E0E" w:rsidRDefault="00536E0E" w:rsidP="00536E0E">
            <w:r w:rsidRPr="001C57B6">
              <w:rPr>
                <w:b/>
              </w:rPr>
              <w:t>Australian Standards and legislative requirements</w:t>
            </w:r>
          </w:p>
        </w:tc>
        <w:tc>
          <w:tcPr>
            <w:tcW w:w="6958" w:type="dxa"/>
          </w:tcPr>
          <w:p w14:paraId="758F406C" w14:textId="0BBB2032" w:rsidR="00536E0E" w:rsidRPr="00E80838" w:rsidRDefault="00536E0E" w:rsidP="00536E0E">
            <w:pPr>
              <w:widowControl w:val="0"/>
              <w:rPr>
                <w:rFonts w:ascii="Calibri" w:hAnsi="Calibri"/>
              </w:rPr>
            </w:pPr>
            <w:r>
              <w:rPr>
                <w:rFonts w:ascii="Calibri" w:hAnsi="Calibri"/>
              </w:rPr>
              <w:t xml:space="preserve">There are no Australian Standards for footwear, but manufacturers of footwear need to meet the relevant safety and regulatory standards. </w:t>
            </w:r>
          </w:p>
        </w:tc>
      </w:tr>
      <w:tr w:rsidR="00536E0E" w14:paraId="0A2EBD6F" w14:textId="77777777" w:rsidTr="00F9028F">
        <w:tc>
          <w:tcPr>
            <w:tcW w:w="2393" w:type="dxa"/>
          </w:tcPr>
          <w:p w14:paraId="16B06CCA" w14:textId="2CAC597E" w:rsidR="00536E0E" w:rsidRPr="001C57B6" w:rsidRDefault="00536E0E" w:rsidP="00536E0E">
            <w:pPr>
              <w:rPr>
                <w:b/>
              </w:rPr>
            </w:pPr>
            <w:r>
              <w:rPr>
                <w:b/>
              </w:rPr>
              <w:t>Health Provider Hotline/</w:t>
            </w:r>
            <w:r w:rsidRPr="008F6574">
              <w:rPr>
                <w:b/>
              </w:rPr>
              <w:t>Contacts for MGF enquiries</w:t>
            </w:r>
          </w:p>
        </w:tc>
        <w:tc>
          <w:tcPr>
            <w:tcW w:w="6958" w:type="dxa"/>
          </w:tcPr>
          <w:p w14:paraId="094A3862" w14:textId="77777777" w:rsidR="00536E0E" w:rsidRPr="005063BD" w:rsidRDefault="00536E0E" w:rsidP="00536E0E">
            <w:pPr>
              <w:widowControl w:val="0"/>
              <w:rPr>
                <w:bCs/>
              </w:rPr>
            </w:pPr>
            <w:r w:rsidRPr="005063BD">
              <w:rPr>
                <w:bCs/>
              </w:rPr>
              <w:t>Hotline: 1800 550 457</w:t>
            </w:r>
          </w:p>
          <w:p w14:paraId="652FEA78" w14:textId="7FBB1E8D" w:rsidR="00536E0E" w:rsidRDefault="00536E0E" w:rsidP="00536E0E">
            <w:pPr>
              <w:widowControl w:val="0"/>
            </w:pPr>
            <w:r w:rsidRPr="00E80838">
              <w:t>Health Providers can contact DVA for any enquiries by calling the P</w:t>
            </w:r>
            <w:r>
              <w:t>rovider Hotline: (Please press O</w:t>
            </w:r>
            <w:r w:rsidRPr="00E80838">
              <w:t>ption 1 when prompted</w:t>
            </w:r>
            <w:r>
              <w:t xml:space="preserve"> for RAP, then </w:t>
            </w:r>
            <w:r w:rsidRPr="00E71EDA">
              <w:t xml:space="preserve">Option </w:t>
            </w:r>
            <w:r>
              <w:t>2</w:t>
            </w:r>
            <w:r w:rsidRPr="00E71EDA">
              <w:t xml:space="preserve"> for </w:t>
            </w:r>
            <w:r>
              <w:t>all other enquiries (e.g. MGF prior approvals</w:t>
            </w:r>
            <w:r w:rsidRPr="00E80838">
              <w:t>)</w:t>
            </w:r>
            <w:r w:rsidR="00FF11F7">
              <w:t>)</w:t>
            </w:r>
            <w:r>
              <w:t>.</w:t>
            </w:r>
            <w:r w:rsidRPr="00E80838">
              <w:t xml:space="preserve"> </w:t>
            </w:r>
          </w:p>
          <w:p w14:paraId="7A42DD6C" w14:textId="56D754EC" w:rsidR="00536E0E" w:rsidRPr="00A13B49" w:rsidRDefault="00536E0E" w:rsidP="00536E0E">
            <w:r w:rsidRPr="001B47B9">
              <w:t>Email:</w:t>
            </w:r>
            <w:r w:rsidRPr="001B47B9">
              <w:tab/>
            </w:r>
            <w:hyperlink r:id="rId23" w:history="1">
              <w:r w:rsidRPr="00A80C69">
                <w:rPr>
                  <w:color w:val="0563C1" w:themeColor="hyperlink"/>
                  <w:u w:val="single"/>
                </w:rPr>
                <w:t>RAPgeneralenquiries@dva.gov.au</w:t>
              </w:r>
            </w:hyperlink>
          </w:p>
          <w:p w14:paraId="723584A6" w14:textId="77777777" w:rsidR="00536E0E" w:rsidRPr="006E3E6B" w:rsidRDefault="00536E0E" w:rsidP="00536E0E">
            <w:pPr>
              <w:widowControl w:val="0"/>
              <w:rPr>
                <w:rFonts w:ascii="Calibri" w:hAnsi="Calibri"/>
              </w:rPr>
            </w:pPr>
          </w:p>
        </w:tc>
      </w:tr>
      <w:tr w:rsidR="00536E0E" w14:paraId="20CC38E1" w14:textId="77777777" w:rsidTr="00F9028F">
        <w:tc>
          <w:tcPr>
            <w:tcW w:w="2393" w:type="dxa"/>
          </w:tcPr>
          <w:p w14:paraId="04CA34C7" w14:textId="4184CCB7" w:rsidR="00536E0E" w:rsidRDefault="00536E0E" w:rsidP="00536E0E">
            <w:pPr>
              <w:rPr>
                <w:b/>
              </w:rPr>
            </w:pPr>
            <w:r>
              <w:rPr>
                <w:rFonts w:ascii="Calibri" w:hAnsi="Calibri"/>
                <w:b/>
              </w:rPr>
              <w:lastRenderedPageBreak/>
              <w:t>Footwear for prosthetic limbs</w:t>
            </w:r>
          </w:p>
        </w:tc>
        <w:tc>
          <w:tcPr>
            <w:tcW w:w="6958" w:type="dxa"/>
          </w:tcPr>
          <w:p w14:paraId="1EAE6B63" w14:textId="77777777" w:rsidR="00536E0E" w:rsidRPr="00A13B49" w:rsidRDefault="00536E0E" w:rsidP="00536E0E">
            <w:pPr>
              <w:spacing w:after="120"/>
            </w:pPr>
            <w:r w:rsidRPr="00A13B49">
              <w:t xml:space="preserve">Stock footwear can be prescribed and issued for a limb prosthesis.  This is requested through the Rehabilitation Appliances </w:t>
            </w:r>
            <w:r>
              <w:t>Program</w:t>
            </w:r>
            <w:r w:rsidRPr="00A13B49">
              <w:t xml:space="preserve"> (RAP).  The item for stock footwear is AJ07.</w:t>
            </w:r>
          </w:p>
          <w:p w14:paraId="245A85D1" w14:textId="77777777" w:rsidR="00536E0E" w:rsidRPr="00A13B49" w:rsidRDefault="00536E0E" w:rsidP="00536E0E">
            <w:r>
              <w:t>T</w:t>
            </w:r>
            <w:r w:rsidRPr="00A13B49">
              <w:t>emporary footwear i.e. cast/wound care boots or shoes can be prescribed using item AJ06.</w:t>
            </w:r>
            <w:r>
              <w:t xml:space="preserve">  </w:t>
            </w:r>
            <w:r w:rsidRPr="00A13B49">
              <w:t>The prescription form D0992</w:t>
            </w:r>
            <w:r>
              <w:t xml:space="preserve"> for Mobility and Functional Support</w:t>
            </w:r>
            <w:r w:rsidRPr="00A13B49">
              <w:t xml:space="preserve"> is available for downloading on </w:t>
            </w:r>
            <w:r>
              <w:t>DVA’s</w:t>
            </w:r>
            <w:r w:rsidRPr="00A13B49">
              <w:t xml:space="preserve"> website via: </w:t>
            </w:r>
          </w:p>
          <w:p w14:paraId="3FCC5607" w14:textId="77777777" w:rsidR="00536E0E" w:rsidRDefault="00DF7490" w:rsidP="00536E0E">
            <w:hyperlink r:id="rId24" w:history="1">
              <w:r w:rsidR="00536E0E">
                <w:rPr>
                  <w:rStyle w:val="Hyperlink"/>
                </w:rPr>
                <w:t>D0992 Order Form RAP Mobility &amp; Functional Support Products (dva.gov.au)</w:t>
              </w:r>
            </w:hyperlink>
          </w:p>
          <w:p w14:paraId="5C576BB7" w14:textId="77777777" w:rsidR="00536E0E" w:rsidRPr="009B5EF1" w:rsidRDefault="00536E0E" w:rsidP="00536E0E">
            <w:pPr>
              <w:widowControl w:val="0"/>
              <w:rPr>
                <w:bCs/>
              </w:rPr>
            </w:pPr>
          </w:p>
        </w:tc>
      </w:tr>
    </w:tbl>
    <w:p w14:paraId="3E25F8CE" w14:textId="77777777" w:rsidR="00025915" w:rsidRDefault="00025915"/>
    <w:p w14:paraId="51C6DA7D" w14:textId="77777777" w:rsidR="00D81FA8" w:rsidRDefault="00D81FA8"/>
    <w:sectPr w:rsidR="00D81FA8">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0B032" w14:textId="77777777" w:rsidR="005149D3" w:rsidRDefault="005149D3" w:rsidP="007A21EF">
      <w:pPr>
        <w:spacing w:after="0" w:line="240" w:lineRule="auto"/>
      </w:pPr>
      <w:r>
        <w:separator/>
      </w:r>
    </w:p>
  </w:endnote>
  <w:endnote w:type="continuationSeparator" w:id="0">
    <w:p w14:paraId="39508EE9" w14:textId="77777777" w:rsidR="005149D3" w:rsidRDefault="005149D3" w:rsidP="007A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853882"/>
      <w:docPartObj>
        <w:docPartGallery w:val="Page Numbers (Bottom of Page)"/>
        <w:docPartUnique/>
      </w:docPartObj>
    </w:sdtPr>
    <w:sdtEndPr/>
    <w:sdtContent>
      <w:sdt>
        <w:sdtPr>
          <w:id w:val="-1769616900"/>
          <w:docPartObj>
            <w:docPartGallery w:val="Page Numbers (Top of Page)"/>
            <w:docPartUnique/>
          </w:docPartObj>
        </w:sdtPr>
        <w:sdtEndPr/>
        <w:sdtContent>
          <w:p w14:paraId="28C7B655" w14:textId="01221750" w:rsidR="007D4BF7" w:rsidRDefault="007D4B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749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7490">
              <w:rPr>
                <w:b/>
                <w:bCs/>
                <w:noProof/>
              </w:rPr>
              <w:t>7</w:t>
            </w:r>
            <w:r>
              <w:rPr>
                <w:b/>
                <w:bCs/>
                <w:sz w:val="24"/>
                <w:szCs w:val="24"/>
              </w:rPr>
              <w:fldChar w:fldCharType="end"/>
            </w:r>
          </w:p>
        </w:sdtContent>
      </w:sdt>
    </w:sdtContent>
  </w:sdt>
  <w:p w14:paraId="10AAAA62" w14:textId="6DC04AF3" w:rsidR="007D4BF7" w:rsidRDefault="003F14AE">
    <w:pPr>
      <w:pStyle w:val="Footer"/>
    </w:pPr>
    <w:r>
      <w:t xml:space="preserve">May </w:t>
    </w:r>
    <w:r w:rsidR="00411F0D">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2B86" w14:textId="77777777" w:rsidR="005149D3" w:rsidRDefault="005149D3" w:rsidP="007A21EF">
      <w:pPr>
        <w:spacing w:after="0" w:line="240" w:lineRule="auto"/>
      </w:pPr>
      <w:r>
        <w:separator/>
      </w:r>
    </w:p>
  </w:footnote>
  <w:footnote w:type="continuationSeparator" w:id="0">
    <w:p w14:paraId="7FC4734B" w14:textId="77777777" w:rsidR="005149D3" w:rsidRDefault="005149D3" w:rsidP="007A2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644C" w14:textId="3E537C25" w:rsidR="007D4BF7" w:rsidRDefault="007D4BF7" w:rsidP="00FD0802">
    <w:pPr>
      <w:pStyle w:val="Header"/>
    </w:pPr>
    <w:r>
      <w:rPr>
        <w:noProof/>
        <w:lang w:eastAsia="en-AU"/>
      </w:rPr>
      <mc:AlternateContent>
        <mc:Choice Requires="wps">
          <w:drawing>
            <wp:anchor distT="45720" distB="45720" distL="114300" distR="114300" simplePos="0" relativeHeight="251657728" behindDoc="0" locked="0" layoutInCell="1" allowOverlap="1" wp14:anchorId="0AB6A7F2" wp14:editId="1C559C06">
              <wp:simplePos x="0" y="0"/>
              <wp:positionH relativeFrom="column">
                <wp:posOffset>-116634</wp:posOffset>
              </wp:positionH>
              <wp:positionV relativeFrom="paragraph">
                <wp:posOffset>-124460</wp:posOffset>
              </wp:positionV>
              <wp:extent cx="6300470" cy="5175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17525"/>
                      </a:xfrm>
                      <a:prstGeom prst="rect">
                        <a:avLst/>
                      </a:prstGeom>
                      <a:noFill/>
                      <a:ln w="9525">
                        <a:noFill/>
                        <a:miter lim="800000"/>
                        <a:headEnd/>
                        <a:tailEnd/>
                      </a:ln>
                    </wps:spPr>
                    <wps:txbx>
                      <w:txbxContent>
                        <w:p w14:paraId="3ACCE652" w14:textId="77777777" w:rsidR="007D4BF7" w:rsidRPr="00742BA7" w:rsidRDefault="007D4BF7" w:rsidP="00FD0802">
                          <w:pPr>
                            <w:pStyle w:val="Title"/>
                          </w:pPr>
                          <w:r>
                            <w:t>Medical Grade Footwear (MGF)</w:t>
                          </w:r>
                          <w:r>
                            <w:br/>
                            <w:t>National Guideline</w:t>
                          </w:r>
                          <w:r>
                            <w:tab/>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B6A7F2" id="_x0000_t202" coordsize="21600,21600" o:spt="202" path="m,l,21600r21600,l21600,xe">
              <v:stroke joinstyle="miter"/>
              <v:path gradientshapeok="t" o:connecttype="rect"/>
            </v:shapetype>
            <v:shape id="Text Box 2" o:spid="_x0000_s1026" type="#_x0000_t202" style="position:absolute;margin-left:-9.2pt;margin-top:-9.8pt;width:496.1pt;height:4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" filled="f" stroked="f">
              <v:textbox>
                <w:txbxContent>
                  <w:p w14:paraId="3ACCE652" w14:textId="77777777" w:rsidR="007D4BF7" w:rsidRPr="00742BA7" w:rsidRDefault="007D4BF7" w:rsidP="00FD0802">
                    <w:pPr>
                      <w:pStyle w:val="Title"/>
                    </w:pPr>
                    <w:r>
                      <w:t>Medical Grade Footwear (MGF)</w:t>
                    </w:r>
                    <w:r>
                      <w:br/>
                      <w:t>National Guideline</w:t>
                    </w:r>
                    <w:r>
                      <w:tab/>
                    </w:r>
                  </w:p>
                </w:txbxContent>
              </v:textbox>
              <w10:wrap type="square"/>
            </v:shape>
          </w:pict>
        </mc:Fallback>
      </mc:AlternateContent>
    </w:r>
    <w:r>
      <w:rPr>
        <w:noProof/>
        <w:lang w:eastAsia="en-AU"/>
      </w:rPr>
      <w:drawing>
        <wp:anchor distT="0" distB="0" distL="114300" distR="114300" simplePos="0" relativeHeight="251656704" behindDoc="1" locked="0" layoutInCell="1" allowOverlap="1" wp14:anchorId="1B4F52FF" wp14:editId="4D2FB8AF">
          <wp:simplePos x="0" y="0"/>
          <wp:positionH relativeFrom="page">
            <wp:align>left</wp:align>
          </wp:positionH>
          <wp:positionV relativeFrom="paragraph">
            <wp:posOffset>-377826</wp:posOffset>
          </wp:positionV>
          <wp:extent cx="8021801" cy="1115251"/>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rait-top-banner-blue-t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8246" cy="1120318"/>
                  </a:xfrm>
                  <a:prstGeom prst="rect">
                    <a:avLst/>
                  </a:prstGeom>
                </pic:spPr>
              </pic:pic>
            </a:graphicData>
          </a:graphic>
          <wp14:sizeRelH relativeFrom="page">
            <wp14:pctWidth>0</wp14:pctWidth>
          </wp14:sizeRelH>
          <wp14:sizeRelV relativeFrom="page">
            <wp14:pctHeight>0</wp14:pctHeight>
          </wp14:sizeRelV>
        </wp:anchor>
      </w:drawing>
    </w:r>
  </w:p>
  <w:p w14:paraId="0E414BB1" w14:textId="77777777" w:rsidR="007D4BF7" w:rsidRDefault="007D4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BB0"/>
    <w:multiLevelType w:val="hybridMultilevel"/>
    <w:tmpl w:val="5A8C1C6A"/>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1" w15:restartNumberingAfterBreak="0">
    <w:nsid w:val="09967122"/>
    <w:multiLevelType w:val="hybridMultilevel"/>
    <w:tmpl w:val="E09E9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81CE7"/>
    <w:multiLevelType w:val="hybridMultilevel"/>
    <w:tmpl w:val="FC9E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B5E72"/>
    <w:multiLevelType w:val="singleLevel"/>
    <w:tmpl w:val="7B169D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6B6E48"/>
    <w:multiLevelType w:val="hybridMultilevel"/>
    <w:tmpl w:val="7FFC70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D812DD1"/>
    <w:multiLevelType w:val="hybridMultilevel"/>
    <w:tmpl w:val="6D189DB4"/>
    <w:lvl w:ilvl="0" w:tplc="4F04B1B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0FD16500"/>
    <w:multiLevelType w:val="hybridMultilevel"/>
    <w:tmpl w:val="193C9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004471"/>
    <w:multiLevelType w:val="multilevel"/>
    <w:tmpl w:val="753C00B6"/>
    <w:lvl w:ilvl="0">
      <w:start w:val="4"/>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815D75"/>
    <w:multiLevelType w:val="hybridMultilevel"/>
    <w:tmpl w:val="1CCE90BC"/>
    <w:lvl w:ilvl="0" w:tplc="F20AEB24">
      <w:numFmt w:val="bullet"/>
      <w:lvlText w:val="•"/>
      <w:lvlJc w:val="left"/>
      <w:pPr>
        <w:ind w:left="720" w:hanging="360"/>
      </w:pPr>
      <w:rPr>
        <w:rFonts w:ascii="Calibri" w:eastAsiaTheme="minorHAns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9F628A"/>
    <w:multiLevelType w:val="hybridMultilevel"/>
    <w:tmpl w:val="0DF24C20"/>
    <w:lvl w:ilvl="0" w:tplc="0C09001B">
      <w:start w:val="1"/>
      <w:numFmt w:val="lowerRoman"/>
      <w:lvlText w:val="%1."/>
      <w:lvlJc w:val="right"/>
      <w:pPr>
        <w:ind w:left="1486" w:hanging="360"/>
      </w:pPr>
    </w:lvl>
    <w:lvl w:ilvl="1" w:tplc="0C090019" w:tentative="1">
      <w:start w:val="1"/>
      <w:numFmt w:val="lowerLetter"/>
      <w:lvlText w:val="%2."/>
      <w:lvlJc w:val="left"/>
      <w:pPr>
        <w:ind w:left="2206" w:hanging="360"/>
      </w:pPr>
    </w:lvl>
    <w:lvl w:ilvl="2" w:tplc="0C09001B" w:tentative="1">
      <w:start w:val="1"/>
      <w:numFmt w:val="lowerRoman"/>
      <w:lvlText w:val="%3."/>
      <w:lvlJc w:val="right"/>
      <w:pPr>
        <w:ind w:left="2926" w:hanging="180"/>
      </w:pPr>
    </w:lvl>
    <w:lvl w:ilvl="3" w:tplc="0C09000F" w:tentative="1">
      <w:start w:val="1"/>
      <w:numFmt w:val="decimal"/>
      <w:lvlText w:val="%4."/>
      <w:lvlJc w:val="left"/>
      <w:pPr>
        <w:ind w:left="3646" w:hanging="360"/>
      </w:pPr>
    </w:lvl>
    <w:lvl w:ilvl="4" w:tplc="0C090019" w:tentative="1">
      <w:start w:val="1"/>
      <w:numFmt w:val="lowerLetter"/>
      <w:lvlText w:val="%5."/>
      <w:lvlJc w:val="left"/>
      <w:pPr>
        <w:ind w:left="4366" w:hanging="360"/>
      </w:pPr>
    </w:lvl>
    <w:lvl w:ilvl="5" w:tplc="0C09001B" w:tentative="1">
      <w:start w:val="1"/>
      <w:numFmt w:val="lowerRoman"/>
      <w:lvlText w:val="%6."/>
      <w:lvlJc w:val="right"/>
      <w:pPr>
        <w:ind w:left="5086" w:hanging="180"/>
      </w:pPr>
    </w:lvl>
    <w:lvl w:ilvl="6" w:tplc="0C09000F" w:tentative="1">
      <w:start w:val="1"/>
      <w:numFmt w:val="decimal"/>
      <w:lvlText w:val="%7."/>
      <w:lvlJc w:val="left"/>
      <w:pPr>
        <w:ind w:left="5806" w:hanging="360"/>
      </w:pPr>
    </w:lvl>
    <w:lvl w:ilvl="7" w:tplc="0C090019" w:tentative="1">
      <w:start w:val="1"/>
      <w:numFmt w:val="lowerLetter"/>
      <w:lvlText w:val="%8."/>
      <w:lvlJc w:val="left"/>
      <w:pPr>
        <w:ind w:left="6526" w:hanging="360"/>
      </w:pPr>
    </w:lvl>
    <w:lvl w:ilvl="8" w:tplc="0C09001B" w:tentative="1">
      <w:start w:val="1"/>
      <w:numFmt w:val="lowerRoman"/>
      <w:lvlText w:val="%9."/>
      <w:lvlJc w:val="right"/>
      <w:pPr>
        <w:ind w:left="7246" w:hanging="180"/>
      </w:pPr>
    </w:lvl>
  </w:abstractNum>
  <w:abstractNum w:abstractNumId="10" w15:restartNumberingAfterBreak="0">
    <w:nsid w:val="1BAB983F"/>
    <w:multiLevelType w:val="hybridMultilevel"/>
    <w:tmpl w:val="BEAAB1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DB04FF"/>
    <w:multiLevelType w:val="hybridMultilevel"/>
    <w:tmpl w:val="AFA25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8A3587"/>
    <w:multiLevelType w:val="hybridMultilevel"/>
    <w:tmpl w:val="96E8E770"/>
    <w:lvl w:ilvl="0" w:tplc="D486976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01063B"/>
    <w:multiLevelType w:val="hybridMultilevel"/>
    <w:tmpl w:val="62247BFA"/>
    <w:lvl w:ilvl="0" w:tplc="D486976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890C7A"/>
    <w:multiLevelType w:val="hybridMultilevel"/>
    <w:tmpl w:val="D0AE19C4"/>
    <w:lvl w:ilvl="0" w:tplc="AD38E4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90EDE"/>
    <w:multiLevelType w:val="hybridMultilevel"/>
    <w:tmpl w:val="0DF24C20"/>
    <w:lvl w:ilvl="0" w:tplc="0C09001B">
      <w:start w:val="1"/>
      <w:numFmt w:val="lowerRoman"/>
      <w:lvlText w:val="%1."/>
      <w:lvlJc w:val="right"/>
      <w:pPr>
        <w:ind w:left="1486" w:hanging="360"/>
      </w:pPr>
    </w:lvl>
    <w:lvl w:ilvl="1" w:tplc="0C090019">
      <w:start w:val="1"/>
      <w:numFmt w:val="lowerLetter"/>
      <w:lvlText w:val="%2."/>
      <w:lvlJc w:val="left"/>
      <w:pPr>
        <w:ind w:left="2206" w:hanging="360"/>
      </w:pPr>
    </w:lvl>
    <w:lvl w:ilvl="2" w:tplc="0C09001B">
      <w:start w:val="1"/>
      <w:numFmt w:val="lowerRoman"/>
      <w:lvlText w:val="%3."/>
      <w:lvlJc w:val="right"/>
      <w:pPr>
        <w:ind w:left="2926" w:hanging="180"/>
      </w:pPr>
    </w:lvl>
    <w:lvl w:ilvl="3" w:tplc="0C09000F">
      <w:start w:val="1"/>
      <w:numFmt w:val="decimal"/>
      <w:lvlText w:val="%4."/>
      <w:lvlJc w:val="left"/>
      <w:pPr>
        <w:ind w:left="3646" w:hanging="360"/>
      </w:pPr>
    </w:lvl>
    <w:lvl w:ilvl="4" w:tplc="0C090019">
      <w:start w:val="1"/>
      <w:numFmt w:val="lowerLetter"/>
      <w:lvlText w:val="%5."/>
      <w:lvlJc w:val="left"/>
      <w:pPr>
        <w:ind w:left="4366" w:hanging="360"/>
      </w:pPr>
    </w:lvl>
    <w:lvl w:ilvl="5" w:tplc="0C09001B">
      <w:start w:val="1"/>
      <w:numFmt w:val="lowerRoman"/>
      <w:lvlText w:val="%6."/>
      <w:lvlJc w:val="right"/>
      <w:pPr>
        <w:ind w:left="5086" w:hanging="180"/>
      </w:pPr>
    </w:lvl>
    <w:lvl w:ilvl="6" w:tplc="0C09000F">
      <w:start w:val="1"/>
      <w:numFmt w:val="decimal"/>
      <w:lvlText w:val="%7."/>
      <w:lvlJc w:val="left"/>
      <w:pPr>
        <w:ind w:left="5806" w:hanging="360"/>
      </w:pPr>
    </w:lvl>
    <w:lvl w:ilvl="7" w:tplc="0C090019">
      <w:start w:val="1"/>
      <w:numFmt w:val="lowerLetter"/>
      <w:lvlText w:val="%8."/>
      <w:lvlJc w:val="left"/>
      <w:pPr>
        <w:ind w:left="6526" w:hanging="360"/>
      </w:pPr>
    </w:lvl>
    <w:lvl w:ilvl="8" w:tplc="0C09001B">
      <w:start w:val="1"/>
      <w:numFmt w:val="lowerRoman"/>
      <w:lvlText w:val="%9."/>
      <w:lvlJc w:val="right"/>
      <w:pPr>
        <w:ind w:left="7246" w:hanging="180"/>
      </w:pPr>
    </w:lvl>
  </w:abstractNum>
  <w:abstractNum w:abstractNumId="16" w15:restartNumberingAfterBreak="0">
    <w:nsid w:val="2CE8044F"/>
    <w:multiLevelType w:val="hybridMultilevel"/>
    <w:tmpl w:val="F78C768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7" w15:restartNumberingAfterBreak="0">
    <w:nsid w:val="30AE530F"/>
    <w:multiLevelType w:val="hybridMultilevel"/>
    <w:tmpl w:val="3F087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244FA7"/>
    <w:multiLevelType w:val="hybridMultilevel"/>
    <w:tmpl w:val="108C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F04034"/>
    <w:multiLevelType w:val="hybridMultilevel"/>
    <w:tmpl w:val="BE764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39238A"/>
    <w:multiLevelType w:val="hybridMultilevel"/>
    <w:tmpl w:val="2E3E7A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8D86C3E"/>
    <w:multiLevelType w:val="hybridMultilevel"/>
    <w:tmpl w:val="CBA04FCA"/>
    <w:lvl w:ilvl="0" w:tplc="5FF238F0">
      <w:start w:val="1"/>
      <w:numFmt w:val="bullet"/>
      <w:lvlText w:val=""/>
      <w:lvlJc w:val="left"/>
      <w:pPr>
        <w:tabs>
          <w:tab w:val="num" w:pos="720"/>
        </w:tabs>
        <w:ind w:left="720" w:hanging="38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5B5190"/>
    <w:multiLevelType w:val="hybridMultilevel"/>
    <w:tmpl w:val="7EA06194"/>
    <w:lvl w:ilvl="0" w:tplc="F20AEB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403742"/>
    <w:multiLevelType w:val="hybridMultilevel"/>
    <w:tmpl w:val="519E808A"/>
    <w:lvl w:ilvl="0" w:tplc="AD38E4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48310A"/>
    <w:multiLevelType w:val="hybridMultilevel"/>
    <w:tmpl w:val="667C31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647E0E"/>
    <w:multiLevelType w:val="hybridMultilevel"/>
    <w:tmpl w:val="DC7E86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5D31A9"/>
    <w:multiLevelType w:val="hybridMultilevel"/>
    <w:tmpl w:val="9A4A7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D21042"/>
    <w:multiLevelType w:val="hybridMultilevel"/>
    <w:tmpl w:val="AD02ACF4"/>
    <w:lvl w:ilvl="0" w:tplc="AD38E4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D5813"/>
    <w:multiLevelType w:val="hybridMultilevel"/>
    <w:tmpl w:val="3F644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E81C02"/>
    <w:multiLevelType w:val="hybridMultilevel"/>
    <w:tmpl w:val="01F46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843C2D"/>
    <w:multiLevelType w:val="hybridMultilevel"/>
    <w:tmpl w:val="9E023404"/>
    <w:lvl w:ilvl="0" w:tplc="F20AEB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793A45"/>
    <w:multiLevelType w:val="hybridMultilevel"/>
    <w:tmpl w:val="CE6E0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0D5B15"/>
    <w:multiLevelType w:val="hybridMultilevel"/>
    <w:tmpl w:val="0A72FD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C6151B"/>
    <w:multiLevelType w:val="hybridMultilevel"/>
    <w:tmpl w:val="7618E7CC"/>
    <w:lvl w:ilvl="0" w:tplc="F20AEB24">
      <w:numFmt w:val="bullet"/>
      <w:lvlText w:val="•"/>
      <w:lvlJc w:val="left"/>
      <w:pPr>
        <w:ind w:left="1410" w:hanging="360"/>
      </w:pPr>
      <w:rPr>
        <w:rFonts w:ascii="Calibri" w:eastAsiaTheme="minorHAnsi" w:hAnsi="Calibri" w:cs="Calibri" w:hint="default"/>
      </w:rPr>
    </w:lvl>
    <w:lvl w:ilvl="1" w:tplc="0C090003" w:tentative="1">
      <w:start w:val="1"/>
      <w:numFmt w:val="bullet"/>
      <w:lvlText w:val="o"/>
      <w:lvlJc w:val="left"/>
      <w:pPr>
        <w:ind w:left="2130" w:hanging="360"/>
      </w:pPr>
      <w:rPr>
        <w:rFonts w:ascii="Courier New" w:hAnsi="Courier New" w:cs="Courier New" w:hint="default"/>
      </w:rPr>
    </w:lvl>
    <w:lvl w:ilvl="2" w:tplc="0C090005" w:tentative="1">
      <w:start w:val="1"/>
      <w:numFmt w:val="bullet"/>
      <w:lvlText w:val=""/>
      <w:lvlJc w:val="left"/>
      <w:pPr>
        <w:ind w:left="2850" w:hanging="360"/>
      </w:pPr>
      <w:rPr>
        <w:rFonts w:ascii="Wingdings" w:hAnsi="Wingdings" w:hint="default"/>
      </w:rPr>
    </w:lvl>
    <w:lvl w:ilvl="3" w:tplc="0C090001" w:tentative="1">
      <w:start w:val="1"/>
      <w:numFmt w:val="bullet"/>
      <w:lvlText w:val=""/>
      <w:lvlJc w:val="left"/>
      <w:pPr>
        <w:ind w:left="3570" w:hanging="360"/>
      </w:pPr>
      <w:rPr>
        <w:rFonts w:ascii="Symbol" w:hAnsi="Symbol" w:hint="default"/>
      </w:rPr>
    </w:lvl>
    <w:lvl w:ilvl="4" w:tplc="0C090003" w:tentative="1">
      <w:start w:val="1"/>
      <w:numFmt w:val="bullet"/>
      <w:lvlText w:val="o"/>
      <w:lvlJc w:val="left"/>
      <w:pPr>
        <w:ind w:left="4290" w:hanging="360"/>
      </w:pPr>
      <w:rPr>
        <w:rFonts w:ascii="Courier New" w:hAnsi="Courier New" w:cs="Courier New" w:hint="default"/>
      </w:rPr>
    </w:lvl>
    <w:lvl w:ilvl="5" w:tplc="0C090005" w:tentative="1">
      <w:start w:val="1"/>
      <w:numFmt w:val="bullet"/>
      <w:lvlText w:val=""/>
      <w:lvlJc w:val="left"/>
      <w:pPr>
        <w:ind w:left="5010" w:hanging="360"/>
      </w:pPr>
      <w:rPr>
        <w:rFonts w:ascii="Wingdings" w:hAnsi="Wingdings" w:hint="default"/>
      </w:rPr>
    </w:lvl>
    <w:lvl w:ilvl="6" w:tplc="0C090001" w:tentative="1">
      <w:start w:val="1"/>
      <w:numFmt w:val="bullet"/>
      <w:lvlText w:val=""/>
      <w:lvlJc w:val="left"/>
      <w:pPr>
        <w:ind w:left="5730" w:hanging="360"/>
      </w:pPr>
      <w:rPr>
        <w:rFonts w:ascii="Symbol" w:hAnsi="Symbol" w:hint="default"/>
      </w:rPr>
    </w:lvl>
    <w:lvl w:ilvl="7" w:tplc="0C090003" w:tentative="1">
      <w:start w:val="1"/>
      <w:numFmt w:val="bullet"/>
      <w:lvlText w:val="o"/>
      <w:lvlJc w:val="left"/>
      <w:pPr>
        <w:ind w:left="6450" w:hanging="360"/>
      </w:pPr>
      <w:rPr>
        <w:rFonts w:ascii="Courier New" w:hAnsi="Courier New" w:cs="Courier New" w:hint="default"/>
      </w:rPr>
    </w:lvl>
    <w:lvl w:ilvl="8" w:tplc="0C090005" w:tentative="1">
      <w:start w:val="1"/>
      <w:numFmt w:val="bullet"/>
      <w:lvlText w:val=""/>
      <w:lvlJc w:val="left"/>
      <w:pPr>
        <w:ind w:left="7170" w:hanging="360"/>
      </w:pPr>
      <w:rPr>
        <w:rFonts w:ascii="Wingdings" w:hAnsi="Wingdings" w:hint="default"/>
      </w:rPr>
    </w:lvl>
  </w:abstractNum>
  <w:abstractNum w:abstractNumId="34" w15:restartNumberingAfterBreak="0">
    <w:nsid w:val="73293769"/>
    <w:multiLevelType w:val="multilevel"/>
    <w:tmpl w:val="74AE9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352F63"/>
    <w:multiLevelType w:val="hybridMultilevel"/>
    <w:tmpl w:val="139A5CB0"/>
    <w:lvl w:ilvl="0" w:tplc="AD38E4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5F68E0"/>
    <w:multiLevelType w:val="hybridMultilevel"/>
    <w:tmpl w:val="117A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E13C8B"/>
    <w:multiLevelType w:val="hybridMultilevel"/>
    <w:tmpl w:val="E5EABF9E"/>
    <w:lvl w:ilvl="0" w:tplc="F20AEB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8C7264"/>
    <w:multiLevelType w:val="hybridMultilevel"/>
    <w:tmpl w:val="7D8CC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A778FF"/>
    <w:multiLevelType w:val="multilevel"/>
    <w:tmpl w:val="753C00B6"/>
    <w:lvl w:ilvl="0">
      <w:start w:val="4"/>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FE5CF7"/>
    <w:multiLevelType w:val="hybridMultilevel"/>
    <w:tmpl w:val="7C846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766285"/>
    <w:multiLevelType w:val="hybridMultilevel"/>
    <w:tmpl w:val="A98A82DA"/>
    <w:lvl w:ilvl="0" w:tplc="AD38E4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0"/>
  </w:num>
  <w:num w:numId="3">
    <w:abstractNumId w:val="18"/>
  </w:num>
  <w:num w:numId="4">
    <w:abstractNumId w:val="1"/>
  </w:num>
  <w:num w:numId="5">
    <w:abstractNumId w:val="4"/>
  </w:num>
  <w:num w:numId="6">
    <w:abstractNumId w:val="17"/>
  </w:num>
  <w:num w:numId="7">
    <w:abstractNumId w:val="2"/>
  </w:num>
  <w:num w:numId="8">
    <w:abstractNumId w:val="36"/>
  </w:num>
  <w:num w:numId="9">
    <w:abstractNumId w:val="32"/>
  </w:num>
  <w:num w:numId="10">
    <w:abstractNumId w:val="34"/>
  </w:num>
  <w:num w:numId="11">
    <w:abstractNumId w:val="7"/>
  </w:num>
  <w:num w:numId="12">
    <w:abstractNumId w:val="11"/>
  </w:num>
  <w:num w:numId="13">
    <w:abstractNumId w:val="33"/>
  </w:num>
  <w:num w:numId="14">
    <w:abstractNumId w:val="22"/>
  </w:num>
  <w:num w:numId="15">
    <w:abstractNumId w:val="7"/>
    <w:lvlOverride w:ilvl="0">
      <w:lvl w:ilvl="0">
        <w:start w:val="4"/>
        <w:numFmt w:val="decimal"/>
        <w:lvlText w:val="%1"/>
        <w:lvlJc w:val="left"/>
        <w:pPr>
          <w:tabs>
            <w:tab w:val="num" w:pos="432"/>
          </w:tabs>
          <w:ind w:left="432" w:hanging="432"/>
        </w:pPr>
        <w:rPr>
          <w:rFonts w:hint="default"/>
        </w:rPr>
      </w:lvl>
    </w:lvlOverride>
    <w:lvlOverride w:ilvl="1">
      <w:lvl w:ilvl="1">
        <w:start w:val="1"/>
        <w:numFmt w:val="decimal"/>
        <w:pStyle w:val="Heading2"/>
        <w:lvlText w:val="5.%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6">
    <w:abstractNumId w:val="21"/>
  </w:num>
  <w:num w:numId="17">
    <w:abstractNumId w:val="29"/>
  </w:num>
  <w:num w:numId="18">
    <w:abstractNumId w:val="8"/>
  </w:num>
  <w:num w:numId="19">
    <w:abstractNumId w:val="39"/>
  </w:num>
  <w:num w:numId="20">
    <w:abstractNumId w:val="7"/>
  </w:num>
  <w:num w:numId="21">
    <w:abstractNumId w:val="7"/>
  </w:num>
  <w:num w:numId="22">
    <w:abstractNumId w:val="24"/>
  </w:num>
  <w:num w:numId="23">
    <w:abstractNumId w:val="30"/>
  </w:num>
  <w:num w:numId="24">
    <w:abstractNumId w:val="20"/>
  </w:num>
  <w:num w:numId="25">
    <w:abstractNumId w:val="37"/>
  </w:num>
  <w:num w:numId="26">
    <w:abstractNumId w:val="31"/>
  </w:num>
  <w:num w:numId="27">
    <w:abstractNumId w:val="28"/>
  </w:num>
  <w:num w:numId="28">
    <w:abstractNumId w:val="23"/>
  </w:num>
  <w:num w:numId="29">
    <w:abstractNumId w:val="41"/>
  </w:num>
  <w:num w:numId="30">
    <w:abstractNumId w:val="35"/>
  </w:num>
  <w:num w:numId="31">
    <w:abstractNumId w:val="27"/>
  </w:num>
  <w:num w:numId="32">
    <w:abstractNumId w:val="14"/>
  </w:num>
  <w:num w:numId="33">
    <w:abstractNumId w:val="19"/>
  </w:num>
  <w:num w:numId="34">
    <w:abstractNumId w:val="5"/>
  </w:num>
  <w:num w:numId="35">
    <w:abstractNumId w:val="13"/>
  </w:num>
  <w:num w:numId="36">
    <w:abstractNumId w:val="12"/>
  </w:num>
  <w:num w:numId="37">
    <w:abstractNumId w:val="0"/>
  </w:num>
  <w:num w:numId="38">
    <w:abstractNumId w:val="26"/>
  </w:num>
  <w:num w:numId="39">
    <w:abstractNumId w:val="25"/>
  </w:num>
  <w:num w:numId="40">
    <w:abstractNumId w:val="10"/>
  </w:num>
  <w:num w:numId="41">
    <w:abstractNumId w:val="38"/>
  </w:num>
  <w:num w:numId="42">
    <w:abstractNumId w:val="6"/>
  </w:num>
  <w:num w:numId="43">
    <w:abstractNumId w:val="16"/>
  </w:num>
  <w:num w:numId="44">
    <w:abstractNumId w:val="9"/>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EF"/>
    <w:rsid w:val="00000DE9"/>
    <w:rsid w:val="00011DBB"/>
    <w:rsid w:val="000129FE"/>
    <w:rsid w:val="000169AA"/>
    <w:rsid w:val="0002001C"/>
    <w:rsid w:val="00023C57"/>
    <w:rsid w:val="00025915"/>
    <w:rsid w:val="0003576C"/>
    <w:rsid w:val="00047A5D"/>
    <w:rsid w:val="00055C34"/>
    <w:rsid w:val="00057C5B"/>
    <w:rsid w:val="00066ECF"/>
    <w:rsid w:val="000831AA"/>
    <w:rsid w:val="000A16C6"/>
    <w:rsid w:val="000A1E99"/>
    <w:rsid w:val="000A3D2E"/>
    <w:rsid w:val="000C2FBE"/>
    <w:rsid w:val="000C356E"/>
    <w:rsid w:val="000C40D1"/>
    <w:rsid w:val="000C60BE"/>
    <w:rsid w:val="000C610C"/>
    <w:rsid w:val="000E52EC"/>
    <w:rsid w:val="000F0BF5"/>
    <w:rsid w:val="000F26C9"/>
    <w:rsid w:val="000F4E8E"/>
    <w:rsid w:val="000F63CB"/>
    <w:rsid w:val="000F7D77"/>
    <w:rsid w:val="00104DD4"/>
    <w:rsid w:val="00121E38"/>
    <w:rsid w:val="00136AB1"/>
    <w:rsid w:val="00137D60"/>
    <w:rsid w:val="00142E45"/>
    <w:rsid w:val="001467A8"/>
    <w:rsid w:val="001520CD"/>
    <w:rsid w:val="00161071"/>
    <w:rsid w:val="0017008A"/>
    <w:rsid w:val="0017368D"/>
    <w:rsid w:val="00176E2F"/>
    <w:rsid w:val="00190030"/>
    <w:rsid w:val="001910DE"/>
    <w:rsid w:val="001A6168"/>
    <w:rsid w:val="001B631D"/>
    <w:rsid w:val="001D7D0B"/>
    <w:rsid w:val="001E1D2F"/>
    <w:rsid w:val="001F1F90"/>
    <w:rsid w:val="001F6F70"/>
    <w:rsid w:val="001F79A3"/>
    <w:rsid w:val="001F7BB0"/>
    <w:rsid w:val="00202457"/>
    <w:rsid w:val="0020285E"/>
    <w:rsid w:val="0021369A"/>
    <w:rsid w:val="00213B08"/>
    <w:rsid w:val="00221115"/>
    <w:rsid w:val="002361A5"/>
    <w:rsid w:val="00242495"/>
    <w:rsid w:val="00246A91"/>
    <w:rsid w:val="0027658C"/>
    <w:rsid w:val="00277CB8"/>
    <w:rsid w:val="00294108"/>
    <w:rsid w:val="002A298B"/>
    <w:rsid w:val="002A343E"/>
    <w:rsid w:val="002B4915"/>
    <w:rsid w:val="002C51F1"/>
    <w:rsid w:val="002C575E"/>
    <w:rsid w:val="002D4648"/>
    <w:rsid w:val="002F5593"/>
    <w:rsid w:val="002F75BC"/>
    <w:rsid w:val="003071FB"/>
    <w:rsid w:val="003107B7"/>
    <w:rsid w:val="003275CE"/>
    <w:rsid w:val="00343F55"/>
    <w:rsid w:val="00347A5A"/>
    <w:rsid w:val="003546A0"/>
    <w:rsid w:val="003708DC"/>
    <w:rsid w:val="00371F00"/>
    <w:rsid w:val="00372ABF"/>
    <w:rsid w:val="003749DE"/>
    <w:rsid w:val="00374B51"/>
    <w:rsid w:val="00381307"/>
    <w:rsid w:val="00385B17"/>
    <w:rsid w:val="00386BC2"/>
    <w:rsid w:val="00391609"/>
    <w:rsid w:val="003B0199"/>
    <w:rsid w:val="003B40DE"/>
    <w:rsid w:val="003B44F6"/>
    <w:rsid w:val="003B55B0"/>
    <w:rsid w:val="003C0C9F"/>
    <w:rsid w:val="003C4F64"/>
    <w:rsid w:val="003F14AE"/>
    <w:rsid w:val="003F5675"/>
    <w:rsid w:val="003F6A66"/>
    <w:rsid w:val="00411F0D"/>
    <w:rsid w:val="00412CCF"/>
    <w:rsid w:val="004201CB"/>
    <w:rsid w:val="00421557"/>
    <w:rsid w:val="004278D1"/>
    <w:rsid w:val="00437FF1"/>
    <w:rsid w:val="00453076"/>
    <w:rsid w:val="004566E2"/>
    <w:rsid w:val="00461F40"/>
    <w:rsid w:val="00464EA2"/>
    <w:rsid w:val="00471FA3"/>
    <w:rsid w:val="0048573C"/>
    <w:rsid w:val="00486544"/>
    <w:rsid w:val="0048686B"/>
    <w:rsid w:val="004868B2"/>
    <w:rsid w:val="004877A9"/>
    <w:rsid w:val="00497B52"/>
    <w:rsid w:val="004B72AE"/>
    <w:rsid w:val="004C7115"/>
    <w:rsid w:val="005063BD"/>
    <w:rsid w:val="005149D3"/>
    <w:rsid w:val="00514FEE"/>
    <w:rsid w:val="005212A0"/>
    <w:rsid w:val="00522409"/>
    <w:rsid w:val="00535F44"/>
    <w:rsid w:val="00536C68"/>
    <w:rsid w:val="00536E0E"/>
    <w:rsid w:val="00545667"/>
    <w:rsid w:val="0054683C"/>
    <w:rsid w:val="005570E5"/>
    <w:rsid w:val="0056316E"/>
    <w:rsid w:val="00565B89"/>
    <w:rsid w:val="00570A4A"/>
    <w:rsid w:val="00582E99"/>
    <w:rsid w:val="005839A1"/>
    <w:rsid w:val="00585383"/>
    <w:rsid w:val="0059429F"/>
    <w:rsid w:val="005B69F7"/>
    <w:rsid w:val="005C3CA5"/>
    <w:rsid w:val="005C7B47"/>
    <w:rsid w:val="005E6460"/>
    <w:rsid w:val="005E71A4"/>
    <w:rsid w:val="005E7D27"/>
    <w:rsid w:val="005F30F5"/>
    <w:rsid w:val="005F5EF2"/>
    <w:rsid w:val="005F70E8"/>
    <w:rsid w:val="006017CC"/>
    <w:rsid w:val="00604AA6"/>
    <w:rsid w:val="00607766"/>
    <w:rsid w:val="006121F8"/>
    <w:rsid w:val="00616FDC"/>
    <w:rsid w:val="006277AD"/>
    <w:rsid w:val="006304F0"/>
    <w:rsid w:val="00632B49"/>
    <w:rsid w:val="0063663C"/>
    <w:rsid w:val="0064551D"/>
    <w:rsid w:val="00647B61"/>
    <w:rsid w:val="00654906"/>
    <w:rsid w:val="00655A5E"/>
    <w:rsid w:val="006650B3"/>
    <w:rsid w:val="00665A6F"/>
    <w:rsid w:val="00667F3D"/>
    <w:rsid w:val="00670C35"/>
    <w:rsid w:val="00675C78"/>
    <w:rsid w:val="006A0F43"/>
    <w:rsid w:val="006A1E36"/>
    <w:rsid w:val="006A46EF"/>
    <w:rsid w:val="006A692E"/>
    <w:rsid w:val="006A6E61"/>
    <w:rsid w:val="006B4E7A"/>
    <w:rsid w:val="006D0A28"/>
    <w:rsid w:val="006E02C8"/>
    <w:rsid w:val="006E5763"/>
    <w:rsid w:val="006E6DB0"/>
    <w:rsid w:val="006E705B"/>
    <w:rsid w:val="006F0EFB"/>
    <w:rsid w:val="00705B9C"/>
    <w:rsid w:val="00706C98"/>
    <w:rsid w:val="00723DA4"/>
    <w:rsid w:val="00725C6E"/>
    <w:rsid w:val="0073135A"/>
    <w:rsid w:val="0073402D"/>
    <w:rsid w:val="00746B96"/>
    <w:rsid w:val="00747C8A"/>
    <w:rsid w:val="00750D90"/>
    <w:rsid w:val="00753EE1"/>
    <w:rsid w:val="007645F5"/>
    <w:rsid w:val="00770EAE"/>
    <w:rsid w:val="007834DD"/>
    <w:rsid w:val="00785E90"/>
    <w:rsid w:val="00794718"/>
    <w:rsid w:val="007A21EF"/>
    <w:rsid w:val="007D42E0"/>
    <w:rsid w:val="007D4BF7"/>
    <w:rsid w:val="007F021D"/>
    <w:rsid w:val="0080420F"/>
    <w:rsid w:val="00826600"/>
    <w:rsid w:val="00826AE1"/>
    <w:rsid w:val="008302AA"/>
    <w:rsid w:val="008456AC"/>
    <w:rsid w:val="00852E12"/>
    <w:rsid w:val="00867686"/>
    <w:rsid w:val="00871E37"/>
    <w:rsid w:val="00874632"/>
    <w:rsid w:val="00886F49"/>
    <w:rsid w:val="00892DF0"/>
    <w:rsid w:val="008967A7"/>
    <w:rsid w:val="00897810"/>
    <w:rsid w:val="008A2664"/>
    <w:rsid w:val="008A7CA7"/>
    <w:rsid w:val="008B1BEC"/>
    <w:rsid w:val="008C02E9"/>
    <w:rsid w:val="008C746C"/>
    <w:rsid w:val="008D4B99"/>
    <w:rsid w:val="008E3739"/>
    <w:rsid w:val="008E4D06"/>
    <w:rsid w:val="008E7895"/>
    <w:rsid w:val="008F2305"/>
    <w:rsid w:val="008F2AB4"/>
    <w:rsid w:val="008F6574"/>
    <w:rsid w:val="008F7970"/>
    <w:rsid w:val="0093260B"/>
    <w:rsid w:val="009340BE"/>
    <w:rsid w:val="00934C67"/>
    <w:rsid w:val="009433EE"/>
    <w:rsid w:val="00945849"/>
    <w:rsid w:val="00946219"/>
    <w:rsid w:val="009529DD"/>
    <w:rsid w:val="009635E1"/>
    <w:rsid w:val="00965D62"/>
    <w:rsid w:val="00967591"/>
    <w:rsid w:val="00970FF7"/>
    <w:rsid w:val="0097187B"/>
    <w:rsid w:val="009723A1"/>
    <w:rsid w:val="00984223"/>
    <w:rsid w:val="0098658F"/>
    <w:rsid w:val="00990476"/>
    <w:rsid w:val="00991A72"/>
    <w:rsid w:val="00997F8D"/>
    <w:rsid w:val="009B5EF1"/>
    <w:rsid w:val="009C52B7"/>
    <w:rsid w:val="009D1A25"/>
    <w:rsid w:val="009D7BF3"/>
    <w:rsid w:val="009E3D70"/>
    <w:rsid w:val="009E5DFD"/>
    <w:rsid w:val="009F05A3"/>
    <w:rsid w:val="009F1110"/>
    <w:rsid w:val="009F5A1F"/>
    <w:rsid w:val="00A05E26"/>
    <w:rsid w:val="00A07BF7"/>
    <w:rsid w:val="00A119ED"/>
    <w:rsid w:val="00A32323"/>
    <w:rsid w:val="00A86231"/>
    <w:rsid w:val="00A870E7"/>
    <w:rsid w:val="00A94530"/>
    <w:rsid w:val="00AA22CA"/>
    <w:rsid w:val="00AA5024"/>
    <w:rsid w:val="00AA6BC1"/>
    <w:rsid w:val="00AB0803"/>
    <w:rsid w:val="00AB0B23"/>
    <w:rsid w:val="00AD1358"/>
    <w:rsid w:val="00AD2124"/>
    <w:rsid w:val="00AF410E"/>
    <w:rsid w:val="00AF4362"/>
    <w:rsid w:val="00B061C3"/>
    <w:rsid w:val="00B14FC4"/>
    <w:rsid w:val="00B213C4"/>
    <w:rsid w:val="00B233E0"/>
    <w:rsid w:val="00B36A45"/>
    <w:rsid w:val="00B40576"/>
    <w:rsid w:val="00B45029"/>
    <w:rsid w:val="00B455DB"/>
    <w:rsid w:val="00B45BFA"/>
    <w:rsid w:val="00B60C67"/>
    <w:rsid w:val="00B65890"/>
    <w:rsid w:val="00B71C56"/>
    <w:rsid w:val="00B71EB7"/>
    <w:rsid w:val="00B72AEB"/>
    <w:rsid w:val="00B90F68"/>
    <w:rsid w:val="00BA087F"/>
    <w:rsid w:val="00BB059D"/>
    <w:rsid w:val="00BB6371"/>
    <w:rsid w:val="00BB6F5F"/>
    <w:rsid w:val="00BC2C5B"/>
    <w:rsid w:val="00BC714B"/>
    <w:rsid w:val="00BD19AB"/>
    <w:rsid w:val="00BD2382"/>
    <w:rsid w:val="00BE29AA"/>
    <w:rsid w:val="00BE7175"/>
    <w:rsid w:val="00BF1DD5"/>
    <w:rsid w:val="00BF2B56"/>
    <w:rsid w:val="00BF6782"/>
    <w:rsid w:val="00C002BA"/>
    <w:rsid w:val="00C04055"/>
    <w:rsid w:val="00C064A7"/>
    <w:rsid w:val="00C07EF5"/>
    <w:rsid w:val="00C13950"/>
    <w:rsid w:val="00C263EA"/>
    <w:rsid w:val="00C32616"/>
    <w:rsid w:val="00C3617E"/>
    <w:rsid w:val="00C43FD6"/>
    <w:rsid w:val="00C52B9B"/>
    <w:rsid w:val="00C54610"/>
    <w:rsid w:val="00C724C2"/>
    <w:rsid w:val="00C75F9C"/>
    <w:rsid w:val="00C76595"/>
    <w:rsid w:val="00C93BDC"/>
    <w:rsid w:val="00CB0DB4"/>
    <w:rsid w:val="00CD6922"/>
    <w:rsid w:val="00CE4022"/>
    <w:rsid w:val="00CE7E21"/>
    <w:rsid w:val="00D021B5"/>
    <w:rsid w:val="00D312C2"/>
    <w:rsid w:val="00D371A7"/>
    <w:rsid w:val="00D41015"/>
    <w:rsid w:val="00D528A2"/>
    <w:rsid w:val="00D559B1"/>
    <w:rsid w:val="00D81FA8"/>
    <w:rsid w:val="00D856F0"/>
    <w:rsid w:val="00D90152"/>
    <w:rsid w:val="00D91180"/>
    <w:rsid w:val="00D969EF"/>
    <w:rsid w:val="00DD3FD5"/>
    <w:rsid w:val="00DF117F"/>
    <w:rsid w:val="00DF11A1"/>
    <w:rsid w:val="00DF7490"/>
    <w:rsid w:val="00E01008"/>
    <w:rsid w:val="00E1103F"/>
    <w:rsid w:val="00E15165"/>
    <w:rsid w:val="00E15BD6"/>
    <w:rsid w:val="00E23B7C"/>
    <w:rsid w:val="00E240DC"/>
    <w:rsid w:val="00E25129"/>
    <w:rsid w:val="00E308F4"/>
    <w:rsid w:val="00E5400D"/>
    <w:rsid w:val="00E55392"/>
    <w:rsid w:val="00E5553C"/>
    <w:rsid w:val="00E76275"/>
    <w:rsid w:val="00E80838"/>
    <w:rsid w:val="00E81C13"/>
    <w:rsid w:val="00E8382B"/>
    <w:rsid w:val="00E909B7"/>
    <w:rsid w:val="00E923FF"/>
    <w:rsid w:val="00EA4B7A"/>
    <w:rsid w:val="00EC0268"/>
    <w:rsid w:val="00ED5632"/>
    <w:rsid w:val="00ED77EF"/>
    <w:rsid w:val="00EE0236"/>
    <w:rsid w:val="00EE3D60"/>
    <w:rsid w:val="00F07FF1"/>
    <w:rsid w:val="00F10BD5"/>
    <w:rsid w:val="00F11E6D"/>
    <w:rsid w:val="00F2733B"/>
    <w:rsid w:val="00F35B50"/>
    <w:rsid w:val="00F368EE"/>
    <w:rsid w:val="00F7219C"/>
    <w:rsid w:val="00F74AEB"/>
    <w:rsid w:val="00F76380"/>
    <w:rsid w:val="00F82FC0"/>
    <w:rsid w:val="00F86530"/>
    <w:rsid w:val="00F9028F"/>
    <w:rsid w:val="00F93997"/>
    <w:rsid w:val="00F966F5"/>
    <w:rsid w:val="00FA5C7D"/>
    <w:rsid w:val="00FB40BC"/>
    <w:rsid w:val="00FC3571"/>
    <w:rsid w:val="00FD0802"/>
    <w:rsid w:val="00FD221F"/>
    <w:rsid w:val="00FD34F1"/>
    <w:rsid w:val="00FD4AA7"/>
    <w:rsid w:val="00FF1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DEF125"/>
  <w15:chartTrackingRefBased/>
  <w15:docId w15:val="{319766E6-8B3C-42FB-B545-920AD932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05B"/>
  </w:style>
  <w:style w:type="paragraph" w:styleId="Heading1">
    <w:name w:val="heading 1"/>
    <w:basedOn w:val="Normal"/>
    <w:next w:val="Normal"/>
    <w:link w:val="Heading1Char"/>
    <w:uiPriority w:val="9"/>
    <w:qFormat/>
    <w:rsid w:val="008F6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lause 1"/>
    <w:basedOn w:val="Normal"/>
    <w:next w:val="Normal"/>
    <w:link w:val="Heading2Char"/>
    <w:qFormat/>
    <w:rsid w:val="00AB0B23"/>
    <w:pPr>
      <w:keepNext/>
      <w:numPr>
        <w:ilvl w:val="1"/>
        <w:numId w:val="11"/>
      </w:numPr>
      <w:tabs>
        <w:tab w:val="left" w:pos="851"/>
      </w:tabs>
      <w:spacing w:before="120" w:after="120" w:line="240" w:lineRule="auto"/>
      <w:outlineLvl w:val="1"/>
    </w:pPr>
    <w:rPr>
      <w:rFonts w:ascii="Arial" w:eastAsia="Times New Roman" w:hAnsi="Arial" w:cs="Times New Roman"/>
      <w:b/>
      <w:sz w:val="24"/>
      <w:szCs w:val="20"/>
      <w:lang w:eastAsia="en-AU"/>
    </w:rPr>
  </w:style>
  <w:style w:type="paragraph" w:styleId="Heading3">
    <w:name w:val="heading 3"/>
    <w:basedOn w:val="Normal"/>
    <w:next w:val="Normal"/>
    <w:link w:val="Heading3Char"/>
    <w:uiPriority w:val="9"/>
    <w:semiHidden/>
    <w:unhideWhenUsed/>
    <w:qFormat/>
    <w:rsid w:val="00B455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455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A21EF"/>
    <w:pPr>
      <w:tabs>
        <w:tab w:val="center" w:pos="4513"/>
        <w:tab w:val="right" w:pos="9026"/>
      </w:tabs>
      <w:spacing w:after="0" w:line="240" w:lineRule="auto"/>
    </w:pPr>
  </w:style>
  <w:style w:type="character" w:customStyle="1" w:styleId="HeaderChar">
    <w:name w:val="Header Char"/>
    <w:basedOn w:val="DefaultParagraphFont"/>
    <w:link w:val="Header"/>
    <w:rsid w:val="007A21EF"/>
  </w:style>
  <w:style w:type="paragraph" w:styleId="Footer">
    <w:name w:val="footer"/>
    <w:basedOn w:val="Normal"/>
    <w:link w:val="FooterChar"/>
    <w:uiPriority w:val="99"/>
    <w:unhideWhenUsed/>
    <w:rsid w:val="007A2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1EF"/>
  </w:style>
  <w:style w:type="character" w:styleId="Hyperlink">
    <w:name w:val="Hyperlink"/>
    <w:rsid w:val="006B4E7A"/>
    <w:rPr>
      <w:color w:val="0000FF"/>
      <w:u w:val="single"/>
    </w:rPr>
  </w:style>
  <w:style w:type="paragraph" w:styleId="ListParagraph">
    <w:name w:val="List Paragraph"/>
    <w:basedOn w:val="Normal"/>
    <w:uiPriority w:val="34"/>
    <w:qFormat/>
    <w:rsid w:val="006B4E7A"/>
    <w:pPr>
      <w:ind w:left="720"/>
      <w:contextualSpacing/>
    </w:pPr>
  </w:style>
  <w:style w:type="paragraph" w:styleId="BalloonText">
    <w:name w:val="Balloon Text"/>
    <w:basedOn w:val="Normal"/>
    <w:link w:val="BalloonTextChar"/>
    <w:uiPriority w:val="99"/>
    <w:semiHidden/>
    <w:unhideWhenUsed/>
    <w:rsid w:val="00385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17"/>
    <w:rPr>
      <w:rFonts w:ascii="Segoe UI" w:hAnsi="Segoe UI" w:cs="Segoe UI"/>
      <w:sz w:val="18"/>
      <w:szCs w:val="18"/>
    </w:rPr>
  </w:style>
  <w:style w:type="character" w:styleId="FollowedHyperlink">
    <w:name w:val="FollowedHyperlink"/>
    <w:basedOn w:val="DefaultParagraphFont"/>
    <w:uiPriority w:val="99"/>
    <w:semiHidden/>
    <w:unhideWhenUsed/>
    <w:rsid w:val="009529DD"/>
    <w:rPr>
      <w:color w:val="954F72" w:themeColor="followedHyperlink"/>
      <w:u w:val="single"/>
    </w:rPr>
  </w:style>
  <w:style w:type="character" w:styleId="CommentReference">
    <w:name w:val="annotation reference"/>
    <w:basedOn w:val="DefaultParagraphFont"/>
    <w:uiPriority w:val="99"/>
    <w:semiHidden/>
    <w:unhideWhenUsed/>
    <w:rsid w:val="00991A72"/>
    <w:rPr>
      <w:sz w:val="16"/>
      <w:szCs w:val="16"/>
    </w:rPr>
  </w:style>
  <w:style w:type="paragraph" w:styleId="CommentText">
    <w:name w:val="annotation text"/>
    <w:basedOn w:val="Normal"/>
    <w:link w:val="CommentTextChar"/>
    <w:uiPriority w:val="99"/>
    <w:unhideWhenUsed/>
    <w:rsid w:val="00991A72"/>
    <w:pPr>
      <w:spacing w:line="240" w:lineRule="auto"/>
    </w:pPr>
    <w:rPr>
      <w:sz w:val="20"/>
      <w:szCs w:val="20"/>
    </w:rPr>
  </w:style>
  <w:style w:type="character" w:customStyle="1" w:styleId="CommentTextChar">
    <w:name w:val="Comment Text Char"/>
    <w:basedOn w:val="DefaultParagraphFont"/>
    <w:link w:val="CommentText"/>
    <w:uiPriority w:val="99"/>
    <w:rsid w:val="00991A72"/>
    <w:rPr>
      <w:sz w:val="20"/>
      <w:szCs w:val="20"/>
    </w:rPr>
  </w:style>
  <w:style w:type="paragraph" w:styleId="CommentSubject">
    <w:name w:val="annotation subject"/>
    <w:basedOn w:val="CommentText"/>
    <w:next w:val="CommentText"/>
    <w:link w:val="CommentSubjectChar"/>
    <w:uiPriority w:val="99"/>
    <w:semiHidden/>
    <w:unhideWhenUsed/>
    <w:rsid w:val="00991A72"/>
    <w:rPr>
      <w:b/>
      <w:bCs/>
    </w:rPr>
  </w:style>
  <w:style w:type="character" w:customStyle="1" w:styleId="CommentSubjectChar">
    <w:name w:val="Comment Subject Char"/>
    <w:basedOn w:val="CommentTextChar"/>
    <w:link w:val="CommentSubject"/>
    <w:uiPriority w:val="99"/>
    <w:semiHidden/>
    <w:rsid w:val="00991A72"/>
    <w:rPr>
      <w:b/>
      <w:bCs/>
      <w:sz w:val="20"/>
      <w:szCs w:val="20"/>
    </w:rPr>
  </w:style>
  <w:style w:type="paragraph" w:styleId="Revision">
    <w:name w:val="Revision"/>
    <w:hidden/>
    <w:uiPriority w:val="99"/>
    <w:semiHidden/>
    <w:rsid w:val="00991A72"/>
    <w:pPr>
      <w:spacing w:after="0" w:line="240" w:lineRule="auto"/>
    </w:pPr>
  </w:style>
  <w:style w:type="paragraph" w:styleId="Title">
    <w:name w:val="Title"/>
    <w:next w:val="Normal"/>
    <w:link w:val="TitleChar"/>
    <w:uiPriority w:val="10"/>
    <w:qFormat/>
    <w:rsid w:val="00FD0802"/>
    <w:pPr>
      <w:tabs>
        <w:tab w:val="right" w:pos="9911"/>
      </w:tabs>
      <w:spacing w:after="0" w:line="360" w:lineRule="exact"/>
      <w:contextualSpacing/>
    </w:pPr>
    <w:rPr>
      <w:rFonts w:ascii="Rockwell" w:eastAsiaTheme="majorEastAsia" w:hAnsi="Rockwell" w:cstheme="majorBidi"/>
      <w:b/>
      <w:color w:val="FFFFFF" w:themeColor="background1"/>
      <w:spacing w:val="-10"/>
      <w:kern w:val="28"/>
      <w:sz w:val="28"/>
      <w:szCs w:val="48"/>
    </w:rPr>
  </w:style>
  <w:style w:type="character" w:customStyle="1" w:styleId="TitleChar">
    <w:name w:val="Title Char"/>
    <w:basedOn w:val="DefaultParagraphFont"/>
    <w:link w:val="Title"/>
    <w:uiPriority w:val="10"/>
    <w:rsid w:val="00FD0802"/>
    <w:rPr>
      <w:rFonts w:ascii="Rockwell" w:eastAsiaTheme="majorEastAsia" w:hAnsi="Rockwell" w:cstheme="majorBidi"/>
      <w:b/>
      <w:color w:val="FFFFFF" w:themeColor="background1"/>
      <w:spacing w:val="-10"/>
      <w:kern w:val="28"/>
      <w:sz w:val="28"/>
      <w:szCs w:val="48"/>
    </w:rPr>
  </w:style>
  <w:style w:type="character" w:customStyle="1" w:styleId="Heading2Char">
    <w:name w:val="Heading 2 Char"/>
    <w:aliases w:val="Clause 1 Char"/>
    <w:basedOn w:val="DefaultParagraphFont"/>
    <w:link w:val="Heading2"/>
    <w:rsid w:val="00AB0B23"/>
    <w:rPr>
      <w:rFonts w:ascii="Arial" w:eastAsia="Times New Roman" w:hAnsi="Arial" w:cs="Times New Roman"/>
      <w:b/>
      <w:sz w:val="24"/>
      <w:szCs w:val="20"/>
      <w:lang w:eastAsia="en-AU"/>
    </w:rPr>
  </w:style>
  <w:style w:type="character" w:customStyle="1" w:styleId="Heading4Char">
    <w:name w:val="Heading 4 Char"/>
    <w:basedOn w:val="DefaultParagraphFont"/>
    <w:link w:val="Heading4"/>
    <w:uiPriority w:val="9"/>
    <w:rsid w:val="00B455DB"/>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rsid w:val="00B455DB"/>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rsid w:val="00B455DB"/>
  </w:style>
  <w:style w:type="character" w:customStyle="1" w:styleId="Heading1Char">
    <w:name w:val="Heading 1 Char"/>
    <w:basedOn w:val="DefaultParagraphFont"/>
    <w:link w:val="Heading1"/>
    <w:uiPriority w:val="9"/>
    <w:rsid w:val="008F6574"/>
    <w:rPr>
      <w:rFonts w:asciiTheme="majorHAnsi" w:eastAsiaTheme="majorEastAsia" w:hAnsiTheme="majorHAnsi" w:cstheme="majorBidi"/>
      <w:color w:val="2E74B5" w:themeColor="accent1" w:themeShade="BF"/>
      <w:sz w:val="32"/>
      <w:szCs w:val="32"/>
    </w:rPr>
  </w:style>
  <w:style w:type="paragraph" w:customStyle="1" w:styleId="Default">
    <w:name w:val="Default"/>
    <w:rsid w:val="006A0F43"/>
    <w:pPr>
      <w:autoSpaceDE w:val="0"/>
      <w:autoSpaceDN w:val="0"/>
      <w:adjustRightInd w:val="0"/>
      <w:spacing w:after="0" w:line="240" w:lineRule="auto"/>
    </w:pPr>
    <w:rPr>
      <w:rFonts w:ascii="ITC Franklin Gothic Std Bk Cd" w:hAnsi="ITC Franklin Gothic Std Bk Cd" w:cs="ITC Franklin Gothic Std Bk C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81459">
      <w:bodyDiv w:val="1"/>
      <w:marLeft w:val="0"/>
      <w:marRight w:val="0"/>
      <w:marTop w:val="0"/>
      <w:marBottom w:val="0"/>
      <w:divBdr>
        <w:top w:val="none" w:sz="0" w:space="0" w:color="auto"/>
        <w:left w:val="none" w:sz="0" w:space="0" w:color="auto"/>
        <w:bottom w:val="none" w:sz="0" w:space="0" w:color="auto"/>
        <w:right w:val="none" w:sz="0" w:space="0" w:color="auto"/>
      </w:divBdr>
    </w:div>
    <w:div w:id="1544053601">
      <w:bodyDiv w:val="1"/>
      <w:marLeft w:val="0"/>
      <w:marRight w:val="0"/>
      <w:marTop w:val="0"/>
      <w:marBottom w:val="0"/>
      <w:divBdr>
        <w:top w:val="none" w:sz="0" w:space="0" w:color="auto"/>
        <w:left w:val="none" w:sz="0" w:space="0" w:color="auto"/>
        <w:bottom w:val="none" w:sz="0" w:space="0" w:color="auto"/>
        <w:right w:val="none" w:sz="0" w:space="0" w:color="auto"/>
      </w:divBdr>
    </w:div>
    <w:div w:id="20092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providers/notes-fee-schedules-and-guidelines/fee-schedules/dental-and-allied-health-fee-schedules" TargetMode="External"/><Relationship Id="rId18" Type="http://schemas.openxmlformats.org/officeDocument/2006/relationships/hyperlink" Target="https://www.dva.gov.au/providers/health-programs-and-services-our-clients/medical-grade-footwear-providers-and-suppli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va.gov.au/providers/notes-fee-schedules-and-guidelines/fee-schedules/dental-and-allied-health-fee-schedules" TargetMode="External"/><Relationship Id="rId7" Type="http://schemas.openxmlformats.org/officeDocument/2006/relationships/settings" Target="settings.xml"/><Relationship Id="rId12" Type="http://schemas.openxmlformats.org/officeDocument/2006/relationships/hyperlink" Target="http://www.dva.gov.au/mgf" TargetMode="External"/><Relationship Id="rId17" Type="http://schemas.openxmlformats.org/officeDocument/2006/relationships/hyperlink" Target="https://www.dva.gov.au/sites/default/files/dvaforms/d0688.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va.gov.au/get-support/providers/health-programs-and-services-our-clients/medical-grade-footwear-providers-and" TargetMode="External"/><Relationship Id="rId20" Type="http://schemas.openxmlformats.org/officeDocument/2006/relationships/hyperlink" Target="https://www.dva.gov.au/providers/health-programs-and-services-our-clients/medical-grade-footwear-providers-and-suppli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va.gov.au/providers/health-programs-and-services-our-clients/medical-grade-footwear-providers-and-suppliers" TargetMode="External"/><Relationship Id="rId24" Type="http://schemas.openxmlformats.org/officeDocument/2006/relationships/hyperlink" Target="https://www.dva.gov.au/sites/default/files/2022-10/d0992.pdf" TargetMode="External"/><Relationship Id="rId5" Type="http://schemas.openxmlformats.org/officeDocument/2006/relationships/numbering" Target="numbering.xml"/><Relationship Id="rId15" Type="http://schemas.openxmlformats.org/officeDocument/2006/relationships/hyperlink" Target="https://www.dva.gov.au/providers/health-programs-and-services-our-clients/medical-grade-footwear-providers-and-suppliers" TargetMode="External"/><Relationship Id="rId23" Type="http://schemas.openxmlformats.org/officeDocument/2006/relationships/hyperlink" Target="mailto:rapgeneralenquiries@dva.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apgeneralenquiries@dv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va.gov.au/providers/rehabilitation-appliances-program-rap/rap-schedule" TargetMode="External"/><Relationship Id="rId22" Type="http://schemas.openxmlformats.org/officeDocument/2006/relationships/hyperlink" Target="http://www.dva.gov.au/mgfsupplie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4D97-B690-48F1-8B43-0EE2DFD32C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982DB42-B4B3-496A-B929-7316BEC295ED}">
  <ds:schemaRefs>
    <ds:schemaRef ds:uri="http://schemas.microsoft.com/sharepoint/v3/contenttype/forms"/>
  </ds:schemaRefs>
</ds:datastoreItem>
</file>

<file path=customXml/itemProps3.xml><?xml version="1.0" encoding="utf-8"?>
<ds:datastoreItem xmlns:ds="http://schemas.openxmlformats.org/officeDocument/2006/customXml" ds:itemID="{83FFB29F-570D-45F4-B5F9-565C9F98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25D49A-FCC2-4E0D-B67C-48FA340D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Kellar, Alexandra</dc:creator>
  <cp:keywords/>
  <dc:description/>
  <cp:lastModifiedBy>Steele, Thomas</cp:lastModifiedBy>
  <cp:revision>2</cp:revision>
  <cp:lastPrinted>2019-11-06T22:17:00Z</cp:lastPrinted>
  <dcterms:created xsi:type="dcterms:W3CDTF">2023-05-29T01:41:00Z</dcterms:created>
  <dcterms:modified xsi:type="dcterms:W3CDTF">2023-05-29T01:41:00Z</dcterms:modified>
</cp:coreProperties>
</file>