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C664" w14:textId="77777777" w:rsidR="006A76FF" w:rsidRPr="00446A3B" w:rsidRDefault="006A76FF" w:rsidP="007B26F7">
      <w:pPr>
        <w:pStyle w:val="Subtitle"/>
        <w:tabs>
          <w:tab w:val="left" w:pos="9356"/>
        </w:tabs>
        <w:spacing w:after="120" w:line="240" w:lineRule="auto"/>
        <w:ind w:right="476"/>
        <w:jc w:val="both"/>
        <w:rPr>
          <w:rFonts w:asciiTheme="minorHAnsi" w:hAnsiTheme="minorHAnsi" w:cstheme="minorHAnsi"/>
          <w:caps w:val="0"/>
          <w:color w:val="0F6FC6" w:themeColor="accent1"/>
          <w:sz w:val="22"/>
          <w:szCs w:val="22"/>
          <w:lang w:val="en-AU"/>
        </w:rPr>
      </w:pPr>
    </w:p>
    <w:p w14:paraId="49F5BFD2" w14:textId="77777777" w:rsidR="009027C6" w:rsidRPr="00446A3B" w:rsidRDefault="009027C6" w:rsidP="007B26F7">
      <w:pPr>
        <w:pStyle w:val="Subtitle"/>
        <w:tabs>
          <w:tab w:val="left" w:pos="9356"/>
        </w:tabs>
        <w:spacing w:after="120" w:line="240" w:lineRule="auto"/>
        <w:ind w:left="426" w:right="476"/>
        <w:jc w:val="both"/>
        <w:rPr>
          <w:rFonts w:asciiTheme="minorHAnsi" w:hAnsiTheme="minorHAnsi" w:cstheme="minorHAnsi"/>
          <w:caps w:val="0"/>
          <w:color w:val="0F6FC6" w:themeColor="accent1"/>
          <w:sz w:val="22"/>
          <w:szCs w:val="22"/>
          <w:lang w:val="en-AU"/>
        </w:rPr>
      </w:pPr>
      <w:r w:rsidRPr="00446A3B">
        <w:rPr>
          <w:rFonts w:asciiTheme="minorHAnsi" w:hAnsiTheme="minorHAnsi" w:cstheme="minorHAnsi"/>
          <w:caps w:val="0"/>
          <w:noProof/>
          <w:color w:val="0F6FC6" w:themeColor="accent1"/>
          <w:sz w:val="22"/>
          <w:szCs w:val="22"/>
          <w:lang w:val="en-AU" w:eastAsia="en-AU"/>
        </w:rPr>
        <mc:AlternateContent>
          <mc:Choice Requires="wps">
            <w:drawing>
              <wp:anchor distT="91440" distB="91440" distL="114300" distR="114300" simplePos="0" relativeHeight="251680768" behindDoc="0" locked="0" layoutInCell="1" allowOverlap="1" wp14:anchorId="1D2484C4" wp14:editId="1D0608EE">
                <wp:simplePos x="0" y="0"/>
                <wp:positionH relativeFrom="margin">
                  <wp:align>right</wp:align>
                </wp:positionH>
                <wp:positionV relativeFrom="margin">
                  <wp:posOffset>228600</wp:posOffset>
                </wp:positionV>
                <wp:extent cx="3903980" cy="962660"/>
                <wp:effectExtent l="0" t="0" r="1270" b="8890"/>
                <wp:wrapSquare wrapText="bothSides"/>
                <wp:docPr id="1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24F2" w14:textId="29998E32"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 xml:space="preserve">BULLETIN No. </w:t>
                            </w:r>
                            <w:r w:rsidR="0090060E" w:rsidRPr="007B579C">
                              <w:rPr>
                                <w:rFonts w:asciiTheme="majorHAnsi" w:hAnsiTheme="majorHAnsi"/>
                                <w:i w:val="0"/>
                                <w:sz w:val="52"/>
                                <w:szCs w:val="52"/>
                              </w:rPr>
                              <w:t>33</w:t>
                            </w:r>
                            <w:r>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484C4" id="_x0000_t202" coordsize="21600,21600" o:spt="202" path="m,l,21600r21600,l21600,xe">
                <v:stroke joinstyle="miter"/>
                <v:path gradientshapeok="t" o:connecttype="rect"/>
              </v:shapetype>
              <v:shape id="Text Box 13" o:spid="_x0000_s1026" type="#_x0000_t202" style="position:absolute;left:0;text-align:left;margin-left:256.2pt;margin-top:18pt;width:307.4pt;height:75.8pt;z-index:25168076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" filled="f" stroked="f">
                <v:textbox inset="0,,0">
                  <w:txbxContent>
                    <w:p w14:paraId="623924F2" w14:textId="29998E32"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 xml:space="preserve">BULLETIN No. </w:t>
                      </w:r>
                      <w:r w:rsidR="0090060E" w:rsidRPr="007B579C">
                        <w:rPr>
                          <w:rFonts w:asciiTheme="majorHAnsi" w:hAnsiTheme="majorHAnsi"/>
                          <w:i w:val="0"/>
                          <w:sz w:val="52"/>
                          <w:szCs w:val="52"/>
                        </w:rPr>
                        <w:t>33</w:t>
                      </w:r>
                      <w:r>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v:textbox>
                <w10:wrap type="square" anchorx="margin" anchory="margin"/>
              </v:shape>
            </w:pict>
          </mc:Fallback>
        </mc:AlternateContent>
      </w:r>
      <w:r w:rsidR="003D1366" w:rsidRPr="00446A3B">
        <w:rPr>
          <w:rFonts w:asciiTheme="minorHAnsi" w:hAnsiTheme="minorHAnsi" w:cstheme="minorHAnsi"/>
          <w:caps w:val="0"/>
          <w:noProof/>
          <w:color w:val="0F6FC6" w:themeColor="accent1"/>
          <w:sz w:val="22"/>
          <w:szCs w:val="22"/>
          <w:lang w:val="en-AU" w:eastAsia="en-AU"/>
        </w:rPr>
        <w:drawing>
          <wp:inline distT="0" distB="0" distL="0" distR="0" wp14:anchorId="0B914F02" wp14:editId="6090AA36">
            <wp:extent cx="2125213" cy="1123950"/>
            <wp:effectExtent l="0" t="0" r="8890" b="0"/>
            <wp:docPr id="1" name="Picture 1" descr="R:\Health_and_Comm_Services\PM-Health_Programs\CN\CN Communications\Logos\P03756 Community Nurs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ealth_and_Comm_Services\PM-Health_Programs\CN\CN Communications\Logos\P03756 Community Nursing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4626" cy="1144794"/>
                    </a:xfrm>
                    <a:prstGeom prst="rect">
                      <a:avLst/>
                    </a:prstGeom>
                    <a:noFill/>
                    <a:ln>
                      <a:noFill/>
                    </a:ln>
                  </pic:spPr>
                </pic:pic>
              </a:graphicData>
            </a:graphic>
          </wp:inline>
        </w:drawing>
      </w:r>
      <w:r w:rsidR="003D1366" w:rsidRPr="00446A3B">
        <w:rPr>
          <w:rFonts w:asciiTheme="minorHAnsi" w:hAnsiTheme="minorHAnsi" w:cstheme="minorHAnsi"/>
          <w:caps w:val="0"/>
          <w:color w:val="0F6FC6" w:themeColor="accent1"/>
          <w:sz w:val="22"/>
          <w:szCs w:val="22"/>
          <w:lang w:val="en-AU"/>
        </w:rPr>
        <w:t xml:space="preserve">   </w:t>
      </w:r>
    </w:p>
    <w:p w14:paraId="73CCBECA" w14:textId="77777777" w:rsidR="001A462C" w:rsidRPr="00446A3B" w:rsidRDefault="001A462C" w:rsidP="007B26F7">
      <w:pPr>
        <w:pStyle w:val="Subtitle"/>
        <w:spacing w:after="120" w:line="240" w:lineRule="auto"/>
        <w:ind w:left="426" w:right="476"/>
        <w:jc w:val="both"/>
        <w:rPr>
          <w:rFonts w:asciiTheme="minorHAnsi" w:hAnsiTheme="minorHAnsi" w:cstheme="minorHAnsi"/>
          <w:caps w:val="0"/>
          <w:color w:val="0F6FC6" w:themeColor="accent1"/>
          <w:sz w:val="22"/>
          <w:szCs w:val="22"/>
          <w:lang w:val="en-AU"/>
        </w:rPr>
      </w:pPr>
    </w:p>
    <w:p w14:paraId="10C053FB" w14:textId="5B22D5E2" w:rsidR="00390C1A" w:rsidRPr="00446A3B" w:rsidRDefault="00D617EB" w:rsidP="007B26F7">
      <w:pPr>
        <w:pStyle w:val="Subtitle"/>
        <w:spacing w:after="120" w:line="240" w:lineRule="auto"/>
        <w:ind w:left="426" w:right="476"/>
        <w:jc w:val="both"/>
        <w:rPr>
          <w:rFonts w:asciiTheme="minorHAnsi" w:hAnsiTheme="minorHAnsi" w:cstheme="minorHAnsi"/>
          <w:caps w:val="0"/>
          <w:color w:val="0F6FC6" w:themeColor="accent1"/>
          <w:sz w:val="22"/>
          <w:szCs w:val="22"/>
          <w:lang w:val="en-AU"/>
        </w:rPr>
      </w:pPr>
      <w:r>
        <w:rPr>
          <w:rFonts w:asciiTheme="minorHAnsi" w:hAnsiTheme="minorHAnsi" w:cstheme="minorHAnsi"/>
          <w:caps w:val="0"/>
          <w:color w:val="0F6FC6" w:themeColor="accent1"/>
          <w:sz w:val="22"/>
          <w:szCs w:val="22"/>
          <w:lang w:val="en-AU"/>
        </w:rPr>
        <w:t xml:space="preserve">October </w:t>
      </w:r>
      <w:r w:rsidR="00742CE9" w:rsidRPr="00AC5DE0">
        <w:rPr>
          <w:rFonts w:asciiTheme="minorHAnsi" w:hAnsiTheme="minorHAnsi" w:cstheme="minorHAnsi"/>
          <w:caps w:val="0"/>
          <w:color w:val="0F6FC6" w:themeColor="accent1"/>
          <w:sz w:val="22"/>
          <w:szCs w:val="22"/>
          <w:lang w:val="en-AU"/>
        </w:rPr>
        <w:t>2021</w:t>
      </w:r>
    </w:p>
    <w:p w14:paraId="3D627CC1" w14:textId="77777777" w:rsidR="00390C1A" w:rsidRPr="00446A3B" w:rsidRDefault="00390C1A" w:rsidP="007B26F7">
      <w:pPr>
        <w:pStyle w:val="Subtitle"/>
        <w:spacing w:after="120" w:line="240" w:lineRule="auto"/>
        <w:ind w:left="426" w:right="476"/>
        <w:jc w:val="both"/>
        <w:rPr>
          <w:rFonts w:asciiTheme="minorHAnsi" w:hAnsiTheme="minorHAnsi" w:cstheme="minorHAnsi"/>
          <w:color w:val="FF9933"/>
          <w:sz w:val="22"/>
          <w:szCs w:val="22"/>
          <w:lang w:val="en-AU"/>
        </w:rPr>
      </w:pPr>
    </w:p>
    <w:p w14:paraId="0658D747" w14:textId="77777777" w:rsidR="00F942F7" w:rsidRPr="00446A3B" w:rsidRDefault="00390C1A" w:rsidP="007B26F7">
      <w:pPr>
        <w:pStyle w:val="Subtitle"/>
        <w:spacing w:after="120" w:line="240" w:lineRule="auto"/>
        <w:ind w:left="426" w:right="476"/>
        <w:jc w:val="both"/>
        <w:rPr>
          <w:rFonts w:asciiTheme="minorHAnsi" w:hAnsiTheme="minorHAnsi" w:cstheme="minorHAnsi"/>
          <w:b/>
          <w:color w:val="FF9933"/>
          <w:sz w:val="22"/>
          <w:szCs w:val="22"/>
          <w:lang w:val="en-AU"/>
        </w:rPr>
      </w:pPr>
      <w:r w:rsidRPr="00446A3B">
        <w:rPr>
          <w:rFonts w:asciiTheme="minorHAnsi" w:hAnsiTheme="minorHAnsi" w:cstheme="minorHAnsi"/>
          <w:b/>
          <w:color w:val="FF9933"/>
          <w:sz w:val="22"/>
          <w:szCs w:val="22"/>
          <w:lang w:val="en-AU"/>
        </w:rPr>
        <w:t>FOR DISTRIBUTION TO ALL dva COMMUNITY NURSING STAFF</w:t>
      </w:r>
    </w:p>
    <w:p w14:paraId="19476622" w14:textId="77777777" w:rsidR="001A462C" w:rsidRPr="00446A3B" w:rsidRDefault="001A462C" w:rsidP="007B26F7">
      <w:pPr>
        <w:spacing w:after="120" w:line="240" w:lineRule="auto"/>
        <w:ind w:left="426" w:right="476"/>
        <w:jc w:val="both"/>
        <w:rPr>
          <w:rFonts w:cstheme="minorHAnsi"/>
          <w:lang w:val="en-AU"/>
        </w:rPr>
      </w:pPr>
    </w:p>
    <w:p w14:paraId="6325E7B0" w14:textId="7AFCC273" w:rsidR="00B12812" w:rsidRPr="00446A3B" w:rsidRDefault="00B12812" w:rsidP="007B26F7">
      <w:pPr>
        <w:spacing w:after="120" w:line="240" w:lineRule="auto"/>
        <w:ind w:left="426" w:right="476"/>
        <w:jc w:val="both"/>
        <w:rPr>
          <w:rFonts w:cstheme="minorHAnsi"/>
          <w:lang w:val="en-AU"/>
        </w:rPr>
      </w:pPr>
      <w:r w:rsidRPr="00446A3B">
        <w:rPr>
          <w:rFonts w:cstheme="minorHAnsi"/>
          <w:lang w:val="en-AU"/>
        </w:rPr>
        <w:t xml:space="preserve">This bulletin is being issued </w:t>
      </w:r>
      <w:r w:rsidR="00EB61D4" w:rsidRPr="00446A3B">
        <w:rPr>
          <w:rFonts w:cstheme="minorHAnsi"/>
          <w:lang w:val="en-AU"/>
        </w:rPr>
        <w:t>to provide an update to Department of Veterans’ Affairs (DVA) Commun</w:t>
      </w:r>
      <w:r w:rsidR="005E4557" w:rsidRPr="00446A3B">
        <w:rPr>
          <w:rFonts w:cstheme="minorHAnsi"/>
          <w:lang w:val="en-AU"/>
        </w:rPr>
        <w:t>ity Nursing (CN) providers</w:t>
      </w:r>
      <w:r w:rsidR="00DD73A1">
        <w:rPr>
          <w:rFonts w:cstheme="minorHAnsi"/>
          <w:lang w:val="en-AU"/>
        </w:rPr>
        <w:t xml:space="preserve"> </w:t>
      </w:r>
      <w:r w:rsidR="00CB7DB4">
        <w:rPr>
          <w:rFonts w:cstheme="minorHAnsi"/>
          <w:lang w:val="en-AU"/>
        </w:rPr>
        <w:t>on the alignment of regulation across the care and support sector</w:t>
      </w:r>
      <w:r w:rsidR="00CC7377">
        <w:rPr>
          <w:rFonts w:cstheme="minorHAnsi"/>
          <w:lang w:val="en-AU"/>
        </w:rPr>
        <w:t xml:space="preserve"> and the review of veterans</w:t>
      </w:r>
      <w:r w:rsidR="0090060E">
        <w:rPr>
          <w:rFonts w:cstheme="minorHAnsi"/>
          <w:lang w:val="en-AU"/>
        </w:rPr>
        <w:t>’</w:t>
      </w:r>
      <w:r w:rsidR="00CC7377">
        <w:rPr>
          <w:rFonts w:cstheme="minorHAnsi"/>
          <w:lang w:val="en-AU"/>
        </w:rPr>
        <w:t xml:space="preserve"> care and support programs</w:t>
      </w:r>
      <w:r w:rsidR="00CB7DB4">
        <w:rPr>
          <w:rFonts w:cstheme="minorHAnsi"/>
          <w:lang w:val="en-AU"/>
        </w:rPr>
        <w:t>.</w:t>
      </w:r>
    </w:p>
    <w:p w14:paraId="00A68E4D" w14:textId="52CBFBAF" w:rsidR="00AC5DE0" w:rsidRPr="007F7B7E" w:rsidRDefault="00006218" w:rsidP="00AC5DE0">
      <w:pPr>
        <w:spacing w:before="100" w:beforeAutospacing="1" w:after="100" w:afterAutospacing="1" w:line="240" w:lineRule="auto"/>
        <w:ind w:left="426"/>
        <w:outlineLvl w:val="0"/>
        <w:rPr>
          <w:rFonts w:ascii="Segoe UI" w:eastAsia="Times New Roman" w:hAnsi="Segoe UI" w:cs="Segoe UI"/>
          <w:b/>
          <w:bCs/>
          <w:color w:val="313131"/>
          <w:kern w:val="36"/>
          <w:sz w:val="32"/>
          <w:szCs w:val="32"/>
          <w:lang w:eastAsia="en-AU"/>
        </w:rPr>
      </w:pPr>
      <w:r>
        <w:rPr>
          <w:rFonts w:ascii="Segoe UI" w:eastAsia="Times New Roman" w:hAnsi="Segoe UI" w:cs="Segoe UI"/>
          <w:b/>
          <w:bCs/>
          <w:color w:val="313131"/>
          <w:kern w:val="36"/>
          <w:sz w:val="32"/>
          <w:szCs w:val="32"/>
          <w:lang w:eastAsia="en-AU"/>
        </w:rPr>
        <w:t>Aligning Regulation: m</w:t>
      </w:r>
      <w:r w:rsidR="00AC5DE0" w:rsidRPr="007F7B7E">
        <w:rPr>
          <w:rFonts w:ascii="Segoe UI" w:eastAsia="Times New Roman" w:hAnsi="Segoe UI" w:cs="Segoe UI"/>
          <w:b/>
          <w:bCs/>
          <w:color w:val="313131"/>
          <w:kern w:val="36"/>
          <w:sz w:val="32"/>
          <w:szCs w:val="32"/>
          <w:lang w:eastAsia="en-AU"/>
        </w:rPr>
        <w:t xml:space="preserve">aking it easier for service providers and workers to deliver services across the sector </w:t>
      </w:r>
    </w:p>
    <w:p w14:paraId="7188A0BF" w14:textId="77777777" w:rsidR="00AC5DE0" w:rsidRDefault="00AC5DE0" w:rsidP="00AC5DE0">
      <w:pPr>
        <w:spacing w:before="120" w:after="0" w:line="240" w:lineRule="auto"/>
        <w:ind w:left="426"/>
        <w:rPr>
          <w:szCs w:val="24"/>
        </w:rPr>
      </w:pPr>
      <w:r>
        <w:rPr>
          <w:szCs w:val="24"/>
        </w:rPr>
        <w:t>Care to support Australians remaining independent is currently provided under three different Government schemes that broadly cover veterans’ care, aged care and disability care (the care and support sector). Each of these schemes has its own requirements for care workers and providers, standards and compliance frameworks.</w:t>
      </w:r>
    </w:p>
    <w:p w14:paraId="217C9223" w14:textId="15720BAE" w:rsidR="00CB7DB4" w:rsidRPr="00CB7DB4" w:rsidRDefault="00CB7DB4" w:rsidP="00AC5DE0">
      <w:pPr>
        <w:spacing w:before="120" w:after="0" w:line="240" w:lineRule="auto"/>
        <w:ind w:left="426"/>
        <w:rPr>
          <w:b/>
          <w:szCs w:val="24"/>
        </w:rPr>
      </w:pPr>
      <w:r w:rsidRPr="00CB7DB4">
        <w:rPr>
          <w:b/>
          <w:szCs w:val="24"/>
        </w:rPr>
        <w:t xml:space="preserve">The 2021-22 Budget </w:t>
      </w:r>
      <w:r>
        <w:rPr>
          <w:b/>
          <w:szCs w:val="24"/>
        </w:rPr>
        <w:t>measure</w:t>
      </w:r>
    </w:p>
    <w:p w14:paraId="218BB9BF" w14:textId="0320EEFA" w:rsidR="00AC5DE0" w:rsidRDefault="00AC5DE0" w:rsidP="00D617EB">
      <w:pPr>
        <w:spacing w:before="120" w:after="0" w:line="240" w:lineRule="auto"/>
        <w:ind w:left="425"/>
      </w:pPr>
      <w:r>
        <w:rPr>
          <w:szCs w:val="24"/>
        </w:rPr>
        <w:t xml:space="preserve">In </w:t>
      </w:r>
      <w:proofErr w:type="spellStart"/>
      <w:r>
        <w:rPr>
          <w:szCs w:val="24"/>
        </w:rPr>
        <w:t>recognising</w:t>
      </w:r>
      <w:proofErr w:type="spellEnd"/>
      <w:r>
        <w:rPr>
          <w:szCs w:val="24"/>
        </w:rPr>
        <w:t xml:space="preserve"> the additional burden this places on care providers, the complexity for the care and support workforce and the need to support consistent quality and safety, the Australian </w:t>
      </w:r>
      <w:r w:rsidRPr="009D6047">
        <w:t>Government’s 2021</w:t>
      </w:r>
      <w:r>
        <w:t>-22 Budget included measures to:</w:t>
      </w:r>
    </w:p>
    <w:p w14:paraId="08619FB2" w14:textId="77777777" w:rsidR="00AC5DE0" w:rsidRPr="004C035C" w:rsidRDefault="00AC5DE0" w:rsidP="00AC5DE0">
      <w:pPr>
        <w:pStyle w:val="ListParagraph"/>
        <w:numPr>
          <w:ilvl w:val="0"/>
          <w:numId w:val="10"/>
        </w:numPr>
        <w:spacing w:before="120" w:after="120" w:line="276" w:lineRule="auto"/>
        <w:ind w:left="1146"/>
        <w:rPr>
          <w:i/>
        </w:rPr>
      </w:pPr>
      <w:r>
        <w:t>Align provider regulation across Aged Care, the National Disability Insurance Scheme (NDIS) and veterans’ care;</w:t>
      </w:r>
    </w:p>
    <w:p w14:paraId="243811D5" w14:textId="77777777" w:rsidR="00AC5DE0" w:rsidRPr="002A5FF2" w:rsidRDefault="00AC5DE0" w:rsidP="00AC5DE0">
      <w:pPr>
        <w:pStyle w:val="ListParagraph"/>
        <w:numPr>
          <w:ilvl w:val="0"/>
          <w:numId w:val="10"/>
        </w:numPr>
        <w:spacing w:before="120" w:after="120" w:line="276" w:lineRule="auto"/>
        <w:ind w:left="1146"/>
        <w:rPr>
          <w:i/>
        </w:rPr>
      </w:pPr>
      <w:r>
        <w:t xml:space="preserve">Align worker screening arrangements for the aged care and veterans’ care sectors with those of the NDIS. </w:t>
      </w:r>
    </w:p>
    <w:p w14:paraId="1610EBA1" w14:textId="77777777" w:rsidR="00AC5DE0" w:rsidRDefault="00AC5DE0" w:rsidP="00AC5DE0">
      <w:pPr>
        <w:spacing w:before="120" w:after="0" w:line="240" w:lineRule="auto"/>
        <w:ind w:left="426"/>
        <w:rPr>
          <w:szCs w:val="24"/>
        </w:rPr>
      </w:pPr>
      <w:r w:rsidRPr="009D6047">
        <w:t xml:space="preserve">The measures take a staged approach to regulatory alignment of provider and worker regulation across the </w:t>
      </w:r>
      <w:r>
        <w:t>care and support sector</w:t>
      </w:r>
      <w:r w:rsidRPr="009D6047">
        <w:t>.</w:t>
      </w:r>
    </w:p>
    <w:p w14:paraId="222C2B66" w14:textId="1156545C" w:rsidR="00AC5DE0" w:rsidRDefault="00F074DA" w:rsidP="00AC5DE0">
      <w:pPr>
        <w:spacing w:before="120" w:after="0" w:line="240" w:lineRule="auto"/>
        <w:ind w:left="426"/>
        <w:rPr>
          <w:szCs w:val="24"/>
        </w:rPr>
      </w:pPr>
      <w:r>
        <w:t>DVA</w:t>
      </w:r>
      <w:r w:rsidR="00AC5DE0">
        <w:t xml:space="preserve">, the </w:t>
      </w:r>
      <w:r w:rsidR="00AC5DE0" w:rsidRPr="00866AE6">
        <w:t>Department of Health, the NDIS Quality and Safeguards Commission, the Aged Care Quality and Safety Commission</w:t>
      </w:r>
      <w:r w:rsidR="00AC5DE0">
        <w:t xml:space="preserve"> and</w:t>
      </w:r>
      <w:r w:rsidR="00AC5DE0" w:rsidRPr="00866AE6">
        <w:t xml:space="preserve"> the Department of Social Services</w:t>
      </w:r>
      <w:r>
        <w:t xml:space="preserve"> </w:t>
      </w:r>
      <w:r w:rsidR="00AC5DE0">
        <w:t xml:space="preserve">are working </w:t>
      </w:r>
      <w:r w:rsidR="00AC5DE0" w:rsidRPr="00866AE6">
        <w:t>together</w:t>
      </w:r>
      <w:r w:rsidR="00AC5DE0">
        <w:t>,</w:t>
      </w:r>
      <w:r w:rsidR="00AC5DE0" w:rsidRPr="00866AE6">
        <w:t xml:space="preserve"> </w:t>
      </w:r>
      <w:r w:rsidR="00AC5DE0">
        <w:t xml:space="preserve">through a Cross-Agency Taskforce, </w:t>
      </w:r>
      <w:r w:rsidR="00AC5DE0" w:rsidRPr="00866AE6">
        <w:t xml:space="preserve">to </w:t>
      </w:r>
      <w:r w:rsidR="00AC5DE0">
        <w:t xml:space="preserve">align regulation of the care and support sector. </w:t>
      </w:r>
      <w:r w:rsidR="00AC5DE0" w:rsidRPr="004F0125">
        <w:rPr>
          <w:szCs w:val="24"/>
        </w:rPr>
        <w:t xml:space="preserve">This </w:t>
      </w:r>
      <w:r w:rsidR="00AC5DE0">
        <w:rPr>
          <w:szCs w:val="24"/>
        </w:rPr>
        <w:t xml:space="preserve">reform </w:t>
      </w:r>
      <w:r w:rsidR="00AC5DE0" w:rsidRPr="004F0125">
        <w:rPr>
          <w:szCs w:val="24"/>
        </w:rPr>
        <w:t xml:space="preserve">will seek to reduce the regulatory burden on providers while strengthening protections to ensure quality and safety for participants and consumers. </w:t>
      </w:r>
    </w:p>
    <w:p w14:paraId="1389AC78" w14:textId="77777777" w:rsidR="00AC5DE0" w:rsidRDefault="00AC5DE0" w:rsidP="00AC5DE0">
      <w:pPr>
        <w:spacing w:before="120" w:after="0" w:line="240" w:lineRule="auto"/>
        <w:ind w:left="426"/>
        <w:rPr>
          <w:szCs w:val="24"/>
        </w:rPr>
      </w:pPr>
      <w:r>
        <w:rPr>
          <w:szCs w:val="24"/>
        </w:rPr>
        <w:t xml:space="preserve">There will be a staged approach to implementation and consultation. </w:t>
      </w:r>
    </w:p>
    <w:p w14:paraId="23AA24DA" w14:textId="7C64C7AB" w:rsidR="00AC5DE0" w:rsidRPr="0088694C" w:rsidRDefault="00CB7DB4" w:rsidP="00AC5DE0">
      <w:pPr>
        <w:spacing w:before="120" w:after="0" w:line="240" w:lineRule="auto"/>
        <w:ind w:left="426"/>
        <w:rPr>
          <w:b/>
          <w:szCs w:val="24"/>
        </w:rPr>
      </w:pPr>
      <w:r>
        <w:rPr>
          <w:b/>
          <w:szCs w:val="24"/>
        </w:rPr>
        <w:t xml:space="preserve">Implementation: </w:t>
      </w:r>
      <w:r w:rsidR="00AC5DE0" w:rsidRPr="0088694C">
        <w:rPr>
          <w:b/>
          <w:szCs w:val="24"/>
        </w:rPr>
        <w:t>Stage one</w:t>
      </w:r>
    </w:p>
    <w:p w14:paraId="51548DF2" w14:textId="77777777" w:rsidR="00AC5DE0" w:rsidRDefault="00AC5DE0" w:rsidP="00AC5DE0">
      <w:pPr>
        <w:spacing w:before="120" w:after="0" w:line="240" w:lineRule="auto"/>
        <w:ind w:left="426"/>
        <w:rPr>
          <w:szCs w:val="24"/>
        </w:rPr>
      </w:pPr>
      <w:r>
        <w:rPr>
          <w:szCs w:val="24"/>
        </w:rPr>
        <w:t xml:space="preserve">The Cross-Agency Taskforce is leading consultation with aged care, disability support and veterans’ care stakeholders on the broader reforms that will apply across the care and support sector. While some alignment activities are being implemented in the short term, a longer term plan is to be brought back to the Australian Government for consideration. </w:t>
      </w:r>
    </w:p>
    <w:p w14:paraId="33D65315" w14:textId="77777777" w:rsidR="00AC5DE0" w:rsidRDefault="00AC5DE0" w:rsidP="00AC5DE0">
      <w:pPr>
        <w:spacing w:before="120" w:after="0" w:line="240" w:lineRule="auto"/>
        <w:ind w:left="426"/>
        <w:rPr>
          <w:szCs w:val="24"/>
        </w:rPr>
      </w:pPr>
      <w:r>
        <w:rPr>
          <w:szCs w:val="24"/>
        </w:rPr>
        <w:lastRenderedPageBreak/>
        <w:t xml:space="preserve">Some of the immediate alignment activities include: </w:t>
      </w:r>
    </w:p>
    <w:p w14:paraId="403E221F" w14:textId="77777777" w:rsidR="00AC5DE0" w:rsidRPr="003A4A3C" w:rsidRDefault="00AC5DE0" w:rsidP="00AC5DE0">
      <w:pPr>
        <w:pStyle w:val="ListParagraph"/>
        <w:numPr>
          <w:ilvl w:val="0"/>
          <w:numId w:val="9"/>
        </w:numPr>
        <w:spacing w:before="120" w:after="0" w:line="240" w:lineRule="auto"/>
        <w:ind w:left="1146"/>
        <w:contextualSpacing w:val="0"/>
        <w:rPr>
          <w:szCs w:val="24"/>
        </w:rPr>
      </w:pPr>
      <w:r w:rsidRPr="003A4A3C">
        <w:rPr>
          <w:szCs w:val="24"/>
        </w:rPr>
        <w:t>Amending legislation to improve sharing of regulatory data and intelligence between regulators and align compliance and enforcement powers</w:t>
      </w:r>
      <w:r>
        <w:rPr>
          <w:szCs w:val="24"/>
        </w:rPr>
        <w:t>;</w:t>
      </w:r>
    </w:p>
    <w:p w14:paraId="2AAFE2C5" w14:textId="25A130A4" w:rsidR="00AC5DE0" w:rsidRPr="003A4A3C" w:rsidRDefault="00AC5DE0" w:rsidP="00AC5DE0">
      <w:pPr>
        <w:pStyle w:val="ListParagraph"/>
        <w:numPr>
          <w:ilvl w:val="0"/>
          <w:numId w:val="9"/>
        </w:numPr>
        <w:spacing w:before="120" w:after="0" w:line="240" w:lineRule="auto"/>
        <w:ind w:left="1146"/>
        <w:contextualSpacing w:val="0"/>
        <w:rPr>
          <w:szCs w:val="24"/>
        </w:rPr>
      </w:pPr>
      <w:r w:rsidRPr="003A4A3C">
        <w:rPr>
          <w:szCs w:val="24"/>
        </w:rPr>
        <w:t>A national care an</w:t>
      </w:r>
      <w:r>
        <w:rPr>
          <w:szCs w:val="24"/>
        </w:rPr>
        <w:t>d</w:t>
      </w:r>
      <w:r w:rsidRPr="003A4A3C">
        <w:rPr>
          <w:szCs w:val="24"/>
        </w:rPr>
        <w:t xml:space="preserve"> support worker screening check</w:t>
      </w:r>
      <w:r w:rsidR="00CC7377">
        <w:rPr>
          <w:szCs w:val="24"/>
        </w:rPr>
        <w:t xml:space="preserve"> to align processes with the NDIS</w:t>
      </w:r>
      <w:r>
        <w:rPr>
          <w:szCs w:val="24"/>
        </w:rPr>
        <w:t>; and</w:t>
      </w:r>
      <w:r w:rsidRPr="003A4A3C">
        <w:rPr>
          <w:szCs w:val="24"/>
        </w:rPr>
        <w:t xml:space="preserve"> </w:t>
      </w:r>
    </w:p>
    <w:p w14:paraId="389B5B6F" w14:textId="77777777" w:rsidR="00AC5DE0" w:rsidRPr="003A4A3C" w:rsidRDefault="00AC5DE0" w:rsidP="00AC5DE0">
      <w:pPr>
        <w:pStyle w:val="ListParagraph"/>
        <w:numPr>
          <w:ilvl w:val="0"/>
          <w:numId w:val="9"/>
        </w:numPr>
        <w:spacing w:before="120" w:after="0" w:line="240" w:lineRule="auto"/>
        <w:ind w:left="1146"/>
        <w:contextualSpacing w:val="0"/>
        <w:rPr>
          <w:szCs w:val="24"/>
        </w:rPr>
      </w:pPr>
      <w:r w:rsidRPr="003A4A3C">
        <w:rPr>
          <w:szCs w:val="24"/>
        </w:rPr>
        <w:t>A Code of Co</w:t>
      </w:r>
      <w:r>
        <w:rPr>
          <w:szCs w:val="24"/>
        </w:rPr>
        <w:t xml:space="preserve">nduct for workers and providers. </w:t>
      </w:r>
    </w:p>
    <w:p w14:paraId="3EC9BDAF" w14:textId="77777777" w:rsidR="00F64CAD" w:rsidRDefault="00F64CAD" w:rsidP="00AC5DE0">
      <w:pPr>
        <w:spacing w:before="120" w:after="0" w:line="240" w:lineRule="auto"/>
        <w:ind w:left="426"/>
        <w:rPr>
          <w:szCs w:val="24"/>
        </w:rPr>
      </w:pPr>
    </w:p>
    <w:p w14:paraId="5F1B3343" w14:textId="40DAAEB9" w:rsidR="00AC5DE0" w:rsidRDefault="00AC5DE0" w:rsidP="00AC5DE0">
      <w:pPr>
        <w:spacing w:before="120" w:after="0" w:line="240" w:lineRule="auto"/>
        <w:ind w:left="426"/>
        <w:rPr>
          <w:szCs w:val="24"/>
        </w:rPr>
      </w:pPr>
      <w:r>
        <w:rPr>
          <w:szCs w:val="24"/>
        </w:rPr>
        <w:t>Consultation on a roadmap for medium to longer term regulatory alignment</w:t>
      </w:r>
      <w:r w:rsidR="00F64CAD">
        <w:rPr>
          <w:szCs w:val="24"/>
        </w:rPr>
        <w:t xml:space="preserve"> and the Code of Conduct</w:t>
      </w:r>
      <w:r>
        <w:rPr>
          <w:szCs w:val="24"/>
        </w:rPr>
        <w:t xml:space="preserve"> </w:t>
      </w:r>
      <w:r w:rsidR="00F64CAD">
        <w:rPr>
          <w:szCs w:val="24"/>
        </w:rPr>
        <w:t>is commencing in</w:t>
      </w:r>
      <w:r>
        <w:rPr>
          <w:szCs w:val="24"/>
        </w:rPr>
        <w:t xml:space="preserve"> October 2021. Peak aged care and disability bodies will be involved in the co-design of a roadmap for future alignment activities, noting that over 80 per cent of CN contracted providers and/or V</w:t>
      </w:r>
      <w:r w:rsidR="00EA058D">
        <w:rPr>
          <w:szCs w:val="24"/>
        </w:rPr>
        <w:t xml:space="preserve">eterans’ </w:t>
      </w:r>
      <w:r>
        <w:rPr>
          <w:szCs w:val="24"/>
        </w:rPr>
        <w:t>H</w:t>
      </w:r>
      <w:r w:rsidR="00EA058D">
        <w:rPr>
          <w:szCs w:val="24"/>
        </w:rPr>
        <w:t xml:space="preserve">ome </w:t>
      </w:r>
      <w:r>
        <w:rPr>
          <w:szCs w:val="24"/>
        </w:rPr>
        <w:t>C</w:t>
      </w:r>
      <w:r w:rsidR="00EA058D">
        <w:rPr>
          <w:szCs w:val="24"/>
        </w:rPr>
        <w:t>are (VHC)</w:t>
      </w:r>
      <w:r>
        <w:rPr>
          <w:szCs w:val="24"/>
        </w:rPr>
        <w:t xml:space="preserve"> contracted providers are also approved providers under the aged care scheme and/or the NDIS. </w:t>
      </w:r>
    </w:p>
    <w:p w14:paraId="318A8987" w14:textId="77777777" w:rsidR="00AC5DE0" w:rsidRDefault="00AC5DE0" w:rsidP="00AC5DE0">
      <w:pPr>
        <w:spacing w:before="120" w:after="0" w:line="240" w:lineRule="auto"/>
        <w:ind w:left="426"/>
        <w:rPr>
          <w:szCs w:val="24"/>
        </w:rPr>
      </w:pPr>
    </w:p>
    <w:p w14:paraId="20178630" w14:textId="5C320782" w:rsidR="00D617EB" w:rsidRPr="00D617EB" w:rsidRDefault="00D617EB" w:rsidP="00AC5DE0">
      <w:pPr>
        <w:pBdr>
          <w:top w:val="single" w:sz="4" w:space="1" w:color="auto"/>
          <w:left w:val="single" w:sz="4" w:space="4" w:color="auto"/>
          <w:bottom w:val="single" w:sz="4" w:space="1" w:color="auto"/>
          <w:right w:val="single" w:sz="4" w:space="4" w:color="auto"/>
        </w:pBdr>
        <w:spacing w:before="120" w:after="0" w:line="240" w:lineRule="auto"/>
        <w:ind w:left="426"/>
        <w:rPr>
          <w:b/>
        </w:rPr>
      </w:pPr>
      <w:r w:rsidRPr="00D617EB">
        <w:rPr>
          <w:b/>
        </w:rPr>
        <w:t xml:space="preserve">Consultation </w:t>
      </w:r>
      <w:r>
        <w:rPr>
          <w:b/>
        </w:rPr>
        <w:t xml:space="preserve">is commencing </w:t>
      </w:r>
    </w:p>
    <w:p w14:paraId="2ACAC102" w14:textId="5B1CD5D3" w:rsidR="00AC5DE0" w:rsidRPr="00D617EB" w:rsidRDefault="00D617EB" w:rsidP="00AC5DE0">
      <w:pPr>
        <w:pBdr>
          <w:top w:val="single" w:sz="4" w:space="1" w:color="auto"/>
          <w:left w:val="single" w:sz="4" w:space="4" w:color="auto"/>
          <w:bottom w:val="single" w:sz="4" w:space="1" w:color="auto"/>
          <w:right w:val="single" w:sz="4" w:space="4" w:color="auto"/>
        </w:pBdr>
        <w:spacing w:before="120" w:after="0" w:line="240" w:lineRule="auto"/>
        <w:ind w:left="426"/>
      </w:pPr>
      <w:r w:rsidRPr="00D617EB">
        <w:t xml:space="preserve">To progress this work, Australia’s care and support sector </w:t>
      </w:r>
      <w:r w:rsidR="00CC7377">
        <w:t xml:space="preserve">is </w:t>
      </w:r>
      <w:r w:rsidRPr="00D617EB">
        <w:t xml:space="preserve">invited to have its say on efforts to align regulation in the sector. </w:t>
      </w:r>
      <w:r w:rsidR="00543E0B">
        <w:t xml:space="preserve">DVA contracted </w:t>
      </w:r>
      <w:r w:rsidR="00AC5DE0" w:rsidRPr="00D617EB">
        <w:t xml:space="preserve">CN providers are encouraged to participate in the consultation processes to actively shape reform to the care and support sector. </w:t>
      </w:r>
    </w:p>
    <w:p w14:paraId="09FDDC04" w14:textId="2F751F57" w:rsidR="00D617EB" w:rsidRDefault="00D617EB" w:rsidP="00D617EB">
      <w:pPr>
        <w:pBdr>
          <w:top w:val="single" w:sz="4" w:space="1" w:color="auto"/>
          <w:left w:val="single" w:sz="4" w:space="4" w:color="auto"/>
          <w:bottom w:val="single" w:sz="4" w:space="1" w:color="auto"/>
          <w:right w:val="single" w:sz="4" w:space="4" w:color="auto"/>
        </w:pBdr>
        <w:spacing w:before="120" w:after="0" w:line="240" w:lineRule="auto"/>
        <w:ind w:left="426"/>
      </w:pPr>
      <w:r w:rsidRPr="00D617EB">
        <w:t xml:space="preserve">There </w:t>
      </w:r>
      <w:r w:rsidR="00F64CAD">
        <w:t>will</w:t>
      </w:r>
      <w:r w:rsidRPr="00D617EB">
        <w:t xml:space="preserve"> be multiple ways providers can participate in consultation</w:t>
      </w:r>
      <w:r>
        <w:t xml:space="preserve"> including registering for a workshop</w:t>
      </w:r>
      <w:r w:rsidRPr="00D617EB">
        <w:t xml:space="preserve">. </w:t>
      </w:r>
    </w:p>
    <w:p w14:paraId="287B562B" w14:textId="23C201A5" w:rsidR="00D46720" w:rsidRDefault="00D46720" w:rsidP="00D617EB">
      <w:pPr>
        <w:pBdr>
          <w:top w:val="single" w:sz="4" w:space="1" w:color="auto"/>
          <w:left w:val="single" w:sz="4" w:space="4" w:color="auto"/>
          <w:bottom w:val="single" w:sz="4" w:space="1" w:color="auto"/>
          <w:right w:val="single" w:sz="4" w:space="4" w:color="auto"/>
        </w:pBdr>
        <w:spacing w:before="120" w:after="0" w:line="240" w:lineRule="auto"/>
        <w:ind w:left="426"/>
      </w:pPr>
      <w:r>
        <w:t xml:space="preserve">CN </w:t>
      </w:r>
      <w:r w:rsidR="00575B7E">
        <w:t xml:space="preserve">providers and </w:t>
      </w:r>
      <w:r>
        <w:t>staff are encouraged to:</w:t>
      </w:r>
    </w:p>
    <w:p w14:paraId="59610B7F" w14:textId="532A234B" w:rsidR="00D617EB" w:rsidRDefault="00D46720" w:rsidP="00D617EB">
      <w:pPr>
        <w:pBdr>
          <w:top w:val="single" w:sz="4" w:space="1" w:color="auto"/>
          <w:left w:val="single" w:sz="4" w:space="4" w:color="auto"/>
          <w:bottom w:val="single" w:sz="4" w:space="1" w:color="auto"/>
          <w:right w:val="single" w:sz="4" w:space="4" w:color="auto"/>
        </w:pBdr>
        <w:spacing w:before="120" w:after="0" w:line="240" w:lineRule="auto"/>
        <w:ind w:left="426"/>
      </w:pPr>
      <w:r>
        <w:t xml:space="preserve">- </w:t>
      </w:r>
      <w:r w:rsidR="00D617EB">
        <w:t xml:space="preserve">visit </w:t>
      </w:r>
      <w:hyperlink r:id="rId8" w:history="1">
        <w:r w:rsidR="00D617EB" w:rsidRPr="00F64CAD">
          <w:rPr>
            <w:rStyle w:val="Hyperlink"/>
            <w:color w:val="2191C9" w:themeColor="background2" w:themeShade="80"/>
            <w:sz w:val="24"/>
            <w:szCs w:val="24"/>
          </w:rPr>
          <w:t>Aligning Regulation across the care sector</w:t>
        </w:r>
      </w:hyperlink>
      <w:r w:rsidR="00D617EB">
        <w:rPr>
          <w:rStyle w:val="Hyperlink"/>
          <w:sz w:val="24"/>
          <w:szCs w:val="24"/>
        </w:rPr>
        <w:t xml:space="preserve"> </w:t>
      </w:r>
      <w:r w:rsidR="00D617EB" w:rsidRPr="00D617EB">
        <w:t>to find out more information</w:t>
      </w:r>
      <w:r w:rsidR="005769A8">
        <w:t xml:space="preserve"> on alignment</w:t>
      </w:r>
      <w:r w:rsidR="005769A8">
        <w:br/>
      </w:r>
      <w:r w:rsidR="00D617EB">
        <w:t>activities and consultation opportunities</w:t>
      </w:r>
      <w:r w:rsidR="009F4543">
        <w:t>, including registering for workshops</w:t>
      </w:r>
      <w:r w:rsidR="00D617EB">
        <w:t xml:space="preserve">. </w:t>
      </w:r>
    </w:p>
    <w:p w14:paraId="70B21C1F" w14:textId="03A36F33" w:rsidR="00D617EB" w:rsidRPr="00D617EB" w:rsidRDefault="00D46720" w:rsidP="00D617EB">
      <w:pPr>
        <w:pBdr>
          <w:top w:val="single" w:sz="4" w:space="1" w:color="auto"/>
          <w:left w:val="single" w:sz="4" w:space="4" w:color="auto"/>
          <w:bottom w:val="single" w:sz="4" w:space="1" w:color="auto"/>
          <w:right w:val="single" w:sz="4" w:space="4" w:color="auto"/>
        </w:pBdr>
        <w:spacing w:before="120" w:after="0" w:line="240" w:lineRule="auto"/>
        <w:ind w:left="426"/>
      </w:pPr>
      <w:r>
        <w:t xml:space="preserve"> - </w:t>
      </w:r>
      <w:r w:rsidR="00D617EB" w:rsidRPr="00D617EB">
        <w:t>register on the</w:t>
      </w:r>
      <w:r w:rsidR="00D617EB" w:rsidRPr="00F64CAD">
        <w:rPr>
          <w:color w:val="0C9A73" w:themeColor="accent4" w:themeShade="BF"/>
          <w:sz w:val="24"/>
          <w:szCs w:val="24"/>
          <w:lang w:val="en-AU"/>
        </w:rPr>
        <w:t xml:space="preserve"> </w:t>
      </w:r>
      <w:hyperlink r:id="rId9" w:history="1">
        <w:r w:rsidR="00D617EB" w:rsidRPr="00F64CAD">
          <w:rPr>
            <w:rStyle w:val="Hyperlink"/>
            <w:color w:val="0C9A73" w:themeColor="accent4" w:themeShade="BF"/>
            <w:sz w:val="24"/>
            <w:szCs w:val="24"/>
            <w:lang w:val="en-AU"/>
          </w:rPr>
          <w:t>Ageing and Aged Care Engagement Hub</w:t>
        </w:r>
      </w:hyperlink>
      <w:r w:rsidR="00D617EB" w:rsidRPr="00D617EB">
        <w:rPr>
          <w:sz w:val="24"/>
          <w:szCs w:val="24"/>
          <w:lang w:val="en-AU"/>
        </w:rPr>
        <w:t xml:space="preserve"> </w:t>
      </w:r>
      <w:r w:rsidR="00D617EB" w:rsidRPr="00D617EB">
        <w:t xml:space="preserve">to receive alerts on areas of interest </w:t>
      </w:r>
      <w:r w:rsidR="00F64CAD">
        <w:t>to implement broader aged care reform, including the new Code of Conduct</w:t>
      </w:r>
      <w:r w:rsidR="00D617EB" w:rsidRPr="00D617EB">
        <w:t>.</w:t>
      </w:r>
    </w:p>
    <w:p w14:paraId="0CAA09B3" w14:textId="77777777" w:rsidR="00AC5DE0" w:rsidRDefault="00AC5DE0" w:rsidP="00AC5DE0">
      <w:pPr>
        <w:pBdr>
          <w:top w:val="single" w:sz="4" w:space="1" w:color="auto"/>
          <w:left w:val="single" w:sz="4" w:space="4" w:color="auto"/>
          <w:bottom w:val="single" w:sz="4" w:space="1" w:color="auto"/>
          <w:right w:val="single" w:sz="4" w:space="4" w:color="auto"/>
        </w:pBdr>
        <w:spacing w:before="120" w:after="0" w:line="240" w:lineRule="auto"/>
        <w:ind w:left="426"/>
        <w:rPr>
          <w:szCs w:val="24"/>
        </w:rPr>
      </w:pPr>
    </w:p>
    <w:p w14:paraId="7242CFB2" w14:textId="77777777" w:rsidR="00AC5DE0" w:rsidRDefault="00AC5DE0" w:rsidP="00AC5DE0">
      <w:pPr>
        <w:spacing w:before="120" w:after="0" w:line="240" w:lineRule="auto"/>
        <w:ind w:left="426"/>
        <w:rPr>
          <w:szCs w:val="24"/>
        </w:rPr>
      </w:pPr>
    </w:p>
    <w:p w14:paraId="0826DE4C" w14:textId="29DFB648" w:rsidR="00AC5DE0" w:rsidRPr="0088694C" w:rsidRDefault="00CB7DB4" w:rsidP="00AC5DE0">
      <w:pPr>
        <w:spacing w:before="120" w:after="0" w:line="240" w:lineRule="auto"/>
        <w:ind w:left="426"/>
        <w:rPr>
          <w:b/>
          <w:szCs w:val="24"/>
        </w:rPr>
      </w:pPr>
      <w:r>
        <w:rPr>
          <w:b/>
          <w:szCs w:val="24"/>
        </w:rPr>
        <w:t xml:space="preserve">Implementation: </w:t>
      </w:r>
      <w:r w:rsidR="00AC5DE0" w:rsidRPr="0088694C">
        <w:rPr>
          <w:b/>
          <w:szCs w:val="24"/>
        </w:rPr>
        <w:t>Stage two</w:t>
      </w:r>
    </w:p>
    <w:p w14:paraId="562ABC2F" w14:textId="25CFA27E" w:rsidR="00AC5DE0" w:rsidRPr="00CC7377" w:rsidRDefault="00AC5DE0" w:rsidP="00F074DA">
      <w:pPr>
        <w:spacing w:before="120" w:after="120" w:line="276" w:lineRule="auto"/>
        <w:ind w:left="425"/>
      </w:pPr>
      <w:r w:rsidRPr="00CC7377">
        <w:t>The second stage will be consultation specific to the veteran sector as DVA works towards implementing the alignment streams of work across relevant programs, taking into consideration how they have been implemented in aged care and the NDIS and how DVA can best support the reform agenda. We will be consulting with veterans and their families through</w:t>
      </w:r>
      <w:r w:rsidR="00EA058D" w:rsidRPr="00CC7377">
        <w:t xml:space="preserve"> forums established under </w:t>
      </w:r>
      <w:r w:rsidRPr="00CC7377">
        <w:t xml:space="preserve">DVA’s </w:t>
      </w:r>
      <w:r w:rsidR="00EA058D" w:rsidRPr="00CC7377">
        <w:t>National C</w:t>
      </w:r>
      <w:r w:rsidRPr="00CC7377">
        <w:t xml:space="preserve">onsultative </w:t>
      </w:r>
      <w:r w:rsidR="00EA058D" w:rsidRPr="00CC7377">
        <w:t>Framework</w:t>
      </w:r>
      <w:r w:rsidRPr="00CC7377">
        <w:t xml:space="preserve">, and with </w:t>
      </w:r>
      <w:r w:rsidR="00543E0B">
        <w:t xml:space="preserve">DVA contracted </w:t>
      </w:r>
      <w:r w:rsidRPr="00CC7377">
        <w:t>VHC and C</w:t>
      </w:r>
      <w:r w:rsidR="00EA058D" w:rsidRPr="00CC7377">
        <w:t xml:space="preserve">N </w:t>
      </w:r>
      <w:r w:rsidRPr="00CC7377">
        <w:t xml:space="preserve">providers ahead of any proposed changes to give effect to the care sector reforms to ensure a smooth transition to any new arrangements. </w:t>
      </w:r>
    </w:p>
    <w:p w14:paraId="2CB72143" w14:textId="2BCA169A" w:rsidR="00CC7377" w:rsidRPr="00CC7377" w:rsidRDefault="00CC7377" w:rsidP="00CC7377">
      <w:pPr>
        <w:ind w:firstLine="425"/>
        <w:rPr>
          <w:rFonts w:ascii="Segoe UI" w:eastAsia="Times New Roman" w:hAnsi="Segoe UI" w:cs="Segoe UI"/>
          <w:b/>
          <w:bCs/>
          <w:color w:val="313131"/>
          <w:kern w:val="36"/>
          <w:sz w:val="32"/>
          <w:szCs w:val="32"/>
          <w:lang w:eastAsia="en-AU"/>
        </w:rPr>
      </w:pPr>
      <w:r w:rsidRPr="00CC7377">
        <w:rPr>
          <w:rFonts w:ascii="Segoe UI" w:eastAsia="Times New Roman" w:hAnsi="Segoe UI" w:cs="Segoe UI"/>
          <w:b/>
          <w:bCs/>
          <w:color w:val="313131"/>
          <w:kern w:val="36"/>
          <w:sz w:val="32"/>
          <w:szCs w:val="32"/>
          <w:lang w:eastAsia="en-AU"/>
        </w:rPr>
        <w:t xml:space="preserve">Review of veterans’ care and support programs </w:t>
      </w:r>
    </w:p>
    <w:p w14:paraId="18E0EB2F" w14:textId="283C9BA2" w:rsidR="00CC7377" w:rsidRPr="00F074DA" w:rsidRDefault="00901C66" w:rsidP="00F074DA">
      <w:pPr>
        <w:spacing w:before="120" w:after="120" w:line="276" w:lineRule="auto"/>
        <w:ind w:left="425"/>
      </w:pPr>
      <w:r w:rsidRPr="00F074DA">
        <w:t xml:space="preserve">The 2021 Budget provided </w:t>
      </w:r>
      <w:r w:rsidR="00F074DA" w:rsidRPr="00F074DA">
        <w:t xml:space="preserve">funding for DVA to conduct a comprehensive review of veterans’ care and support programs. </w:t>
      </w:r>
      <w:r w:rsidR="00CC7377" w:rsidRPr="00F074DA">
        <w:t>Veterans</w:t>
      </w:r>
      <w:r w:rsidR="0090060E">
        <w:t>’</w:t>
      </w:r>
      <w:r w:rsidR="00CC7377" w:rsidRPr="00F074DA">
        <w:t xml:space="preserve"> Home Care (VHC) and CN </w:t>
      </w:r>
      <w:bookmarkStart w:id="0" w:name="_GoBack"/>
      <w:bookmarkEnd w:id="0"/>
      <w:r w:rsidR="00CC7377" w:rsidRPr="00F074DA">
        <w:t>programs are the primary focus of the Review, though some related arrangements may also be considered to ensure all care and support services for veterans in the home are understood.</w:t>
      </w:r>
    </w:p>
    <w:p w14:paraId="07AB2BCA" w14:textId="6CE41DFD" w:rsidR="00CC7377" w:rsidRPr="00F074DA" w:rsidRDefault="00CC7377" w:rsidP="005769A8">
      <w:pPr>
        <w:keepNext/>
        <w:spacing w:before="120" w:after="0" w:line="240" w:lineRule="auto"/>
        <w:ind w:left="425"/>
        <w:rPr>
          <w:b/>
          <w:szCs w:val="24"/>
        </w:rPr>
      </w:pPr>
      <w:r w:rsidRPr="00F074DA">
        <w:rPr>
          <w:b/>
          <w:szCs w:val="24"/>
        </w:rPr>
        <w:t xml:space="preserve">The need for a Review </w:t>
      </w:r>
    </w:p>
    <w:p w14:paraId="4CBBA352" w14:textId="32333F4F" w:rsidR="00CC7377" w:rsidRPr="00F074DA" w:rsidRDefault="00CC7377" w:rsidP="00F074DA">
      <w:pPr>
        <w:spacing w:before="120" w:after="120" w:line="276" w:lineRule="auto"/>
        <w:ind w:left="425"/>
      </w:pPr>
      <w:r w:rsidRPr="00F074DA">
        <w:t>While the</w:t>
      </w:r>
      <w:r w:rsidR="00F074DA" w:rsidRPr="00F074DA">
        <w:t xml:space="preserve"> VHC and CN </w:t>
      </w:r>
      <w:r w:rsidRPr="00F074DA">
        <w:t xml:space="preserve">programs are well-established, the current care and support market and policy environment in which home care services are delivered </w:t>
      </w:r>
      <w:r w:rsidR="001D0EB2">
        <w:t>is</w:t>
      </w:r>
      <w:r w:rsidR="001D0EB2" w:rsidRPr="00F074DA">
        <w:t xml:space="preserve"> </w:t>
      </w:r>
      <w:r w:rsidRPr="00F074DA">
        <w:t xml:space="preserve">changing, together with the needs and expectations of the veteran and wider community.  This Review is an important opportunity to reflect on </w:t>
      </w:r>
      <w:r w:rsidRPr="00F074DA">
        <w:lastRenderedPageBreak/>
        <w:t xml:space="preserve">current program administration, pricing and structures and ensure the service model is shaped by DVA clients’ priorities and provider market dynamics. </w:t>
      </w:r>
    </w:p>
    <w:p w14:paraId="557570CE" w14:textId="17736F33" w:rsidR="00CC7377" w:rsidRPr="00F074DA" w:rsidRDefault="00CC7377" w:rsidP="00F074DA">
      <w:pPr>
        <w:spacing w:before="120" w:after="120" w:line="276" w:lineRule="auto"/>
        <w:ind w:left="425"/>
      </w:pPr>
      <w:r w:rsidRPr="00F074DA">
        <w:t xml:space="preserve">The Review will allow us to investigate feedback from some providers that some DVA fees are below market rates, or that fee schedules are overly complex, so that we can ensure the sustainability of services to DVA clients in the future.  The Review will consider options to align with the broader reforms across the care and support sector, in particular in response to the </w:t>
      </w:r>
      <w:hyperlink r:id="rId10" w:history="1">
        <w:r w:rsidR="005739EE" w:rsidRPr="005739EE">
          <w:rPr>
            <w:rStyle w:val="Hyperlink"/>
          </w:rPr>
          <w:t>Royal Commission into Aged Care Quality and Safety</w:t>
        </w:r>
      </w:hyperlink>
      <w:r w:rsidRPr="00F074DA">
        <w:t>.</w:t>
      </w:r>
    </w:p>
    <w:p w14:paraId="576B01EB" w14:textId="77777777" w:rsidR="00CC7377" w:rsidRPr="00F074DA" w:rsidRDefault="00CC7377" w:rsidP="00F074DA">
      <w:pPr>
        <w:spacing w:before="120" w:after="120" w:line="276" w:lineRule="auto"/>
        <w:ind w:left="425"/>
      </w:pPr>
      <w:r w:rsidRPr="00F074DA">
        <w:t xml:space="preserve">The Review will be conducted over 2021-22 and provide DVA with options to consider for reform of the VHC and CN programs. </w:t>
      </w:r>
    </w:p>
    <w:p w14:paraId="3F3584C4" w14:textId="3C2D138F" w:rsidR="00CC7377" w:rsidRPr="00901C66" w:rsidRDefault="00901C66" w:rsidP="00901C66">
      <w:pPr>
        <w:spacing w:before="120" w:after="0" w:line="240" w:lineRule="auto"/>
        <w:ind w:left="426"/>
        <w:rPr>
          <w:b/>
          <w:szCs w:val="24"/>
        </w:rPr>
      </w:pPr>
      <w:r w:rsidRPr="00901C66">
        <w:rPr>
          <w:b/>
          <w:szCs w:val="24"/>
        </w:rPr>
        <w:t>N</w:t>
      </w:r>
      <w:r w:rsidR="00CC7377" w:rsidRPr="00901C66">
        <w:rPr>
          <w:b/>
          <w:szCs w:val="24"/>
        </w:rPr>
        <w:t>ext steps</w:t>
      </w:r>
    </w:p>
    <w:p w14:paraId="0333185E" w14:textId="49DB5B77" w:rsidR="00CC7377" w:rsidRPr="00F074DA" w:rsidRDefault="00CC7377" w:rsidP="00F074DA">
      <w:pPr>
        <w:spacing w:before="120" w:after="120" w:line="276" w:lineRule="auto"/>
        <w:ind w:left="425"/>
      </w:pPr>
      <w:r w:rsidRPr="00F074DA">
        <w:t xml:space="preserve">DVA has engaged Nous Group to conduct the Review, which will include stakeholder consultation.  A consultation process will commence in </w:t>
      </w:r>
      <w:r w:rsidR="005739EE">
        <w:t xml:space="preserve">November </w:t>
      </w:r>
      <w:r w:rsidRPr="00F074DA">
        <w:t>2021, providin</w:t>
      </w:r>
      <w:r w:rsidR="00903F23">
        <w:t>g a range of opportunities for</w:t>
      </w:r>
      <w:r w:rsidRPr="00F074DA">
        <w:t xml:space="preserve"> stakeholders to provide input to help shape the advice to be provided to Government.  We understand that the sector </w:t>
      </w:r>
      <w:r w:rsidR="005739EE">
        <w:t>is also being</w:t>
      </w:r>
      <w:r w:rsidRPr="00F074DA">
        <w:t xml:space="preserve"> consulted as part of the Government’s broader </w:t>
      </w:r>
      <w:r w:rsidR="005739EE">
        <w:t xml:space="preserve">aged care </w:t>
      </w:r>
      <w:r w:rsidRPr="00F074DA">
        <w:t>reform agenda</w:t>
      </w:r>
      <w:r w:rsidR="00D46720">
        <w:t xml:space="preserve"> and </w:t>
      </w:r>
      <w:r w:rsidRPr="00F074DA">
        <w:t xml:space="preserve">DVA is mindful of these demands and pressures. </w:t>
      </w:r>
    </w:p>
    <w:p w14:paraId="5A3A745C" w14:textId="4FB9F7FA" w:rsidR="00CC7377" w:rsidRPr="00901C66" w:rsidRDefault="00901C66" w:rsidP="00901C66">
      <w:pPr>
        <w:spacing w:before="120" w:after="0" w:line="240" w:lineRule="auto"/>
        <w:ind w:left="426"/>
        <w:rPr>
          <w:b/>
          <w:szCs w:val="24"/>
        </w:rPr>
      </w:pPr>
      <w:r w:rsidRPr="00901C66">
        <w:rPr>
          <w:b/>
          <w:szCs w:val="24"/>
        </w:rPr>
        <w:t>After the Review is completed</w:t>
      </w:r>
    </w:p>
    <w:p w14:paraId="0F8EDFB1" w14:textId="77777777" w:rsidR="00CC7377" w:rsidRPr="00F074DA" w:rsidRDefault="00CC7377" w:rsidP="00901C66">
      <w:pPr>
        <w:spacing w:before="120" w:after="0" w:line="240" w:lineRule="auto"/>
        <w:ind w:left="426"/>
      </w:pPr>
      <w:r w:rsidRPr="00F074DA">
        <w:t xml:space="preserve">The Review is scheduled to be completed by mid-2022.  It will be a decision of Government to take forward any potential changes to the current DVA program arrangements, taking into consideration the findings of the Review. </w:t>
      </w:r>
    </w:p>
    <w:p w14:paraId="64F4CB2E" w14:textId="77777777" w:rsidR="00901C66" w:rsidRPr="00901C66" w:rsidRDefault="00901C66" w:rsidP="00901C66">
      <w:pPr>
        <w:spacing w:before="120" w:after="0" w:line="240" w:lineRule="auto"/>
        <w:ind w:left="426"/>
        <w:rPr>
          <w:b/>
          <w:szCs w:val="24"/>
        </w:rPr>
      </w:pPr>
      <w:r w:rsidRPr="00901C66">
        <w:rPr>
          <w:b/>
          <w:szCs w:val="24"/>
        </w:rPr>
        <w:t xml:space="preserve">Further information </w:t>
      </w:r>
    </w:p>
    <w:p w14:paraId="6125C821" w14:textId="1727488D" w:rsidR="00CC7377" w:rsidRPr="00601FD3" w:rsidRDefault="00F074DA" w:rsidP="005739EE">
      <w:pPr>
        <w:spacing w:before="120" w:after="0" w:line="240" w:lineRule="auto"/>
        <w:ind w:left="426"/>
      </w:pPr>
      <w:r>
        <w:t>F</w:t>
      </w:r>
      <w:r w:rsidR="00CC7377">
        <w:t xml:space="preserve">urther information will be </w:t>
      </w:r>
      <w:r>
        <w:t xml:space="preserve">provided through CN Bulletins as the </w:t>
      </w:r>
      <w:r w:rsidR="00CC7377">
        <w:t xml:space="preserve">Review progresses, including the consultation process. </w:t>
      </w:r>
    </w:p>
    <w:p w14:paraId="24995AE8" w14:textId="4956FD92" w:rsidR="00B40619" w:rsidRDefault="00B40619" w:rsidP="00AC5DE0">
      <w:pPr>
        <w:spacing w:before="120" w:after="0" w:line="240" w:lineRule="auto"/>
        <w:ind w:left="426"/>
        <w:rPr>
          <w:sz w:val="24"/>
          <w:szCs w:val="24"/>
        </w:rPr>
      </w:pPr>
    </w:p>
    <w:sectPr w:rsidR="00B40619" w:rsidSect="00760771">
      <w:footerReference w:type="default" r:id="rId11"/>
      <w:headerReference w:type="first" r:id="rId12"/>
      <w:pgSz w:w="12240" w:h="15840"/>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8CA57" w14:textId="77777777" w:rsidR="0032548D" w:rsidRDefault="0032548D">
      <w:pPr>
        <w:spacing w:after="0" w:line="240" w:lineRule="auto"/>
      </w:pPr>
      <w:r>
        <w:separator/>
      </w:r>
    </w:p>
  </w:endnote>
  <w:endnote w:type="continuationSeparator" w:id="0">
    <w:p w14:paraId="1C36AA70" w14:textId="77777777" w:rsidR="0032548D" w:rsidRDefault="0032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Malgun Gothic Semilight"/>
    <w:panose1 w:val="020B0600000101010101"/>
    <w:charset w:val="81"/>
    <w:family w:val="swiss"/>
    <w:pitch w:val="variable"/>
    <w:sig w:usb0="00000000"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DINOT-Black">
    <w:altName w:val="DINOT-Black"/>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20"/>
      </w:rPr>
      <w:id w:val="342829799"/>
      <w:docPartObj>
        <w:docPartGallery w:val="Page Numbers (Bottom of Page)"/>
        <w:docPartUnique/>
      </w:docPartObj>
    </w:sdtPr>
    <w:sdtEndPr>
      <w:rPr>
        <w:noProof/>
      </w:rPr>
    </w:sdtEndPr>
    <w:sdtContent>
      <w:p w14:paraId="17D3CC63" w14:textId="69AA7AEB" w:rsidR="00812A6C" w:rsidRPr="00812A6C" w:rsidRDefault="00812A6C">
        <w:pPr>
          <w:pStyle w:val="Footer"/>
          <w:jc w:val="right"/>
          <w:rPr>
            <w:sz w:val="16"/>
            <w:szCs w:val="20"/>
          </w:rPr>
        </w:pPr>
        <w:r w:rsidRPr="00812A6C">
          <w:rPr>
            <w:sz w:val="16"/>
            <w:szCs w:val="20"/>
          </w:rPr>
          <w:fldChar w:fldCharType="begin"/>
        </w:r>
        <w:r w:rsidRPr="00812A6C">
          <w:rPr>
            <w:sz w:val="16"/>
            <w:szCs w:val="20"/>
          </w:rPr>
          <w:instrText xml:space="preserve"> PAGE   \* MERGEFORMAT </w:instrText>
        </w:r>
        <w:r w:rsidRPr="00812A6C">
          <w:rPr>
            <w:sz w:val="16"/>
            <w:szCs w:val="20"/>
          </w:rPr>
          <w:fldChar w:fldCharType="separate"/>
        </w:r>
        <w:r w:rsidR="0074590E">
          <w:rPr>
            <w:noProof/>
            <w:sz w:val="16"/>
            <w:szCs w:val="20"/>
          </w:rPr>
          <w:t>1</w:t>
        </w:r>
        <w:r w:rsidRPr="00812A6C">
          <w:rPr>
            <w:noProof/>
            <w:sz w:val="16"/>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D19C5" w14:textId="77777777" w:rsidR="0032548D" w:rsidRDefault="0032548D">
      <w:pPr>
        <w:spacing w:after="0" w:line="240" w:lineRule="auto"/>
      </w:pPr>
      <w:r>
        <w:separator/>
      </w:r>
    </w:p>
  </w:footnote>
  <w:footnote w:type="continuationSeparator" w:id="0">
    <w:p w14:paraId="62FD77DE" w14:textId="77777777" w:rsidR="0032548D" w:rsidRDefault="00325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D6C2" w14:textId="77777777" w:rsidR="00DB2A51" w:rsidRDefault="00DB2A51">
    <w:pPr>
      <w:pStyle w:val="Header"/>
    </w:pPr>
    <w:r>
      <w:rPr>
        <w:noProof/>
        <w:lang w:val="en-AU" w:eastAsia="en-AU"/>
      </w:rPr>
      <mc:AlternateContent>
        <mc:Choice Requires="wps">
          <w:drawing>
            <wp:anchor distT="0" distB="0" distL="114300" distR="114300" simplePos="0" relativeHeight="251659776" behindDoc="0" locked="0" layoutInCell="1" allowOverlap="1" wp14:anchorId="10FD3EA5" wp14:editId="5E590540">
              <wp:simplePos x="0" y="0"/>
              <wp:positionH relativeFrom="margin">
                <wp:posOffset>7906385</wp:posOffset>
              </wp:positionH>
              <wp:positionV relativeFrom="margin">
                <wp:posOffset>-200025</wp:posOffset>
              </wp:positionV>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1815F640" id="Rectangle 8" o:spid="_x0000_s1026" style="position:absolute;margin-left:622.55pt;margin-top:-15.75pt;width:10.1pt;height:495.9pt;z-index:251659776;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" fillcolor="black" stroked="f">
              <w10:wrap anchorx="margin" anchory="margin"/>
            </v:rect>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182B42C4" wp14:editId="4EAD1CDD">
              <wp:simplePos x="0" y="0"/>
              <wp:positionH relativeFrom="margin">
                <wp:align>center</wp:align>
              </wp:positionH>
              <wp:positionV relativeFrom="margin">
                <wp:posOffset>-247650</wp:posOffset>
              </wp:positionV>
              <wp:extent cx="6848475" cy="9114790"/>
              <wp:effectExtent l="0" t="0" r="20320" b="228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2466ABAD" id="Rectangle 4" o:spid="_x0000_s1026" style="position:absolute;margin-left:0;margin-top:-19.5pt;width:539.25pt;height:717.7pt;z-index:251658752;visibility:visible;mso-wrap-style:square;mso-width-percent:1070;mso-height-percent:1050;mso-wrap-distance-left:9pt;mso-wrap-distance-top:0;mso-wrap-distance-right:9pt;mso-wrap-distance-bottom:0;mso-position-horizontal:center;mso-position-horizontal-relative:margin;mso-position-vertical:absolute;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" filled="f">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236"/>
    <w:multiLevelType w:val="multilevel"/>
    <w:tmpl w:val="F3883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D3BDA"/>
    <w:multiLevelType w:val="hybridMultilevel"/>
    <w:tmpl w:val="9E384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FA7134"/>
    <w:multiLevelType w:val="hybridMultilevel"/>
    <w:tmpl w:val="45928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864AC2"/>
    <w:multiLevelType w:val="hybridMultilevel"/>
    <w:tmpl w:val="7776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F12E97"/>
    <w:multiLevelType w:val="multilevel"/>
    <w:tmpl w:val="26D6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C573C"/>
    <w:multiLevelType w:val="hybridMultilevel"/>
    <w:tmpl w:val="04F81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5866E9"/>
    <w:multiLevelType w:val="hybridMultilevel"/>
    <w:tmpl w:val="76EE0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AD665E"/>
    <w:multiLevelType w:val="multilevel"/>
    <w:tmpl w:val="E9C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F7A99"/>
    <w:multiLevelType w:val="hybridMultilevel"/>
    <w:tmpl w:val="1C484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864726"/>
    <w:multiLevelType w:val="hybridMultilevel"/>
    <w:tmpl w:val="96748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9B1D38"/>
    <w:multiLevelType w:val="hybridMultilevel"/>
    <w:tmpl w:val="3356B93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7"/>
  </w:num>
  <w:num w:numId="4">
    <w:abstractNumId w:val="5"/>
  </w:num>
  <w:num w:numId="5">
    <w:abstractNumId w:val="10"/>
  </w:num>
  <w:num w:numId="6">
    <w:abstractNumId w:val="4"/>
  </w:num>
  <w:num w:numId="7">
    <w:abstractNumId w:val="8"/>
  </w:num>
  <w:num w:numId="8">
    <w:abstractNumId w:val="6"/>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D6"/>
    <w:rsid w:val="00001976"/>
    <w:rsid w:val="00006218"/>
    <w:rsid w:val="000101E7"/>
    <w:rsid w:val="00016A22"/>
    <w:rsid w:val="0002098D"/>
    <w:rsid w:val="00021CCA"/>
    <w:rsid w:val="00041FC2"/>
    <w:rsid w:val="000641E2"/>
    <w:rsid w:val="000728B4"/>
    <w:rsid w:val="00080205"/>
    <w:rsid w:val="0009568D"/>
    <w:rsid w:val="00097EF2"/>
    <w:rsid w:val="000B7FEF"/>
    <w:rsid w:val="000C5909"/>
    <w:rsid w:val="000C64DD"/>
    <w:rsid w:val="000E1F69"/>
    <w:rsid w:val="000E4FF5"/>
    <w:rsid w:val="000F0A77"/>
    <w:rsid w:val="00117A4C"/>
    <w:rsid w:val="00131003"/>
    <w:rsid w:val="00147598"/>
    <w:rsid w:val="0017307F"/>
    <w:rsid w:val="001748D9"/>
    <w:rsid w:val="0018396E"/>
    <w:rsid w:val="001A2268"/>
    <w:rsid w:val="001A462C"/>
    <w:rsid w:val="001C0863"/>
    <w:rsid w:val="001C74C8"/>
    <w:rsid w:val="001D0C03"/>
    <w:rsid w:val="001D0EB2"/>
    <w:rsid w:val="001F1AC9"/>
    <w:rsid w:val="001F26C2"/>
    <w:rsid w:val="001F7DEA"/>
    <w:rsid w:val="0023013D"/>
    <w:rsid w:val="00276E7C"/>
    <w:rsid w:val="002859E6"/>
    <w:rsid w:val="002D2396"/>
    <w:rsid w:val="002E0CE0"/>
    <w:rsid w:val="002E6383"/>
    <w:rsid w:val="00301A16"/>
    <w:rsid w:val="00312A09"/>
    <w:rsid w:val="00312CFC"/>
    <w:rsid w:val="0032548D"/>
    <w:rsid w:val="00325B2D"/>
    <w:rsid w:val="003434F5"/>
    <w:rsid w:val="003775F9"/>
    <w:rsid w:val="00386345"/>
    <w:rsid w:val="00390C1A"/>
    <w:rsid w:val="003B11B5"/>
    <w:rsid w:val="003C279D"/>
    <w:rsid w:val="003D1366"/>
    <w:rsid w:val="003D4F41"/>
    <w:rsid w:val="003E3ACC"/>
    <w:rsid w:val="003E701D"/>
    <w:rsid w:val="003F5EBE"/>
    <w:rsid w:val="00420B78"/>
    <w:rsid w:val="00420F78"/>
    <w:rsid w:val="0042584B"/>
    <w:rsid w:val="004268FE"/>
    <w:rsid w:val="004413B6"/>
    <w:rsid w:val="00446A3B"/>
    <w:rsid w:val="00451080"/>
    <w:rsid w:val="004723CE"/>
    <w:rsid w:val="0048109E"/>
    <w:rsid w:val="004A2CE2"/>
    <w:rsid w:val="004A658D"/>
    <w:rsid w:val="004B017E"/>
    <w:rsid w:val="004B413B"/>
    <w:rsid w:val="004C599C"/>
    <w:rsid w:val="004C717A"/>
    <w:rsid w:val="004E09FB"/>
    <w:rsid w:val="0054335D"/>
    <w:rsid w:val="00543A80"/>
    <w:rsid w:val="00543E0B"/>
    <w:rsid w:val="00545CD0"/>
    <w:rsid w:val="005659C4"/>
    <w:rsid w:val="005739EE"/>
    <w:rsid w:val="00575B7E"/>
    <w:rsid w:val="005769A8"/>
    <w:rsid w:val="005A6993"/>
    <w:rsid w:val="005C70D8"/>
    <w:rsid w:val="005D1A0A"/>
    <w:rsid w:val="005D3C28"/>
    <w:rsid w:val="005D4FE7"/>
    <w:rsid w:val="005D6CEA"/>
    <w:rsid w:val="005E1A16"/>
    <w:rsid w:val="005E4557"/>
    <w:rsid w:val="00622DCE"/>
    <w:rsid w:val="00642660"/>
    <w:rsid w:val="0065298F"/>
    <w:rsid w:val="00660F07"/>
    <w:rsid w:val="00665987"/>
    <w:rsid w:val="006754CB"/>
    <w:rsid w:val="00696A35"/>
    <w:rsid w:val="00696F4D"/>
    <w:rsid w:val="006A3BEE"/>
    <w:rsid w:val="006A67DA"/>
    <w:rsid w:val="006A76FF"/>
    <w:rsid w:val="007117B0"/>
    <w:rsid w:val="00733442"/>
    <w:rsid w:val="00740FAC"/>
    <w:rsid w:val="00742CE9"/>
    <w:rsid w:val="0074590E"/>
    <w:rsid w:val="0075361E"/>
    <w:rsid w:val="00760771"/>
    <w:rsid w:val="00760B60"/>
    <w:rsid w:val="00765DA8"/>
    <w:rsid w:val="0076604F"/>
    <w:rsid w:val="007664BA"/>
    <w:rsid w:val="0077447C"/>
    <w:rsid w:val="007B01F6"/>
    <w:rsid w:val="007B26F7"/>
    <w:rsid w:val="007B49B3"/>
    <w:rsid w:val="007B506D"/>
    <w:rsid w:val="007B579C"/>
    <w:rsid w:val="007C653E"/>
    <w:rsid w:val="007C65D4"/>
    <w:rsid w:val="007C672A"/>
    <w:rsid w:val="007E5BB0"/>
    <w:rsid w:val="007E725A"/>
    <w:rsid w:val="007E77BD"/>
    <w:rsid w:val="007E78C2"/>
    <w:rsid w:val="007F0B10"/>
    <w:rsid w:val="00812A6C"/>
    <w:rsid w:val="00813837"/>
    <w:rsid w:val="00832648"/>
    <w:rsid w:val="00863AFD"/>
    <w:rsid w:val="00865166"/>
    <w:rsid w:val="00897A3A"/>
    <w:rsid w:val="008A3DAA"/>
    <w:rsid w:val="008A4D42"/>
    <w:rsid w:val="008B61FE"/>
    <w:rsid w:val="008C3BF8"/>
    <w:rsid w:val="008C48A4"/>
    <w:rsid w:val="008D0700"/>
    <w:rsid w:val="008D26E0"/>
    <w:rsid w:val="008E40AA"/>
    <w:rsid w:val="008E578F"/>
    <w:rsid w:val="0090060E"/>
    <w:rsid w:val="00901C66"/>
    <w:rsid w:val="009027C6"/>
    <w:rsid w:val="00903F23"/>
    <w:rsid w:val="00917FDE"/>
    <w:rsid w:val="00932B78"/>
    <w:rsid w:val="00941B28"/>
    <w:rsid w:val="0095736B"/>
    <w:rsid w:val="009778A6"/>
    <w:rsid w:val="00994134"/>
    <w:rsid w:val="009A3BE9"/>
    <w:rsid w:val="009A76E8"/>
    <w:rsid w:val="009C6781"/>
    <w:rsid w:val="009D58A7"/>
    <w:rsid w:val="009E7B60"/>
    <w:rsid w:val="009F1898"/>
    <w:rsid w:val="009F4543"/>
    <w:rsid w:val="00A00255"/>
    <w:rsid w:val="00A020F9"/>
    <w:rsid w:val="00A10386"/>
    <w:rsid w:val="00A3054D"/>
    <w:rsid w:val="00A41651"/>
    <w:rsid w:val="00A56366"/>
    <w:rsid w:val="00A65EAB"/>
    <w:rsid w:val="00A746F0"/>
    <w:rsid w:val="00AB5B01"/>
    <w:rsid w:val="00AC5DE0"/>
    <w:rsid w:val="00AD1FA3"/>
    <w:rsid w:val="00AD2939"/>
    <w:rsid w:val="00AF4C83"/>
    <w:rsid w:val="00B12812"/>
    <w:rsid w:val="00B20F59"/>
    <w:rsid w:val="00B23614"/>
    <w:rsid w:val="00B30558"/>
    <w:rsid w:val="00B40619"/>
    <w:rsid w:val="00B577D6"/>
    <w:rsid w:val="00B7233B"/>
    <w:rsid w:val="00B74CD6"/>
    <w:rsid w:val="00BA1A46"/>
    <w:rsid w:val="00BA219F"/>
    <w:rsid w:val="00BB70F4"/>
    <w:rsid w:val="00BC5E76"/>
    <w:rsid w:val="00BD156B"/>
    <w:rsid w:val="00BF2BEA"/>
    <w:rsid w:val="00C15133"/>
    <w:rsid w:val="00C17840"/>
    <w:rsid w:val="00C27259"/>
    <w:rsid w:val="00C27CB1"/>
    <w:rsid w:val="00C30AB6"/>
    <w:rsid w:val="00C3557A"/>
    <w:rsid w:val="00C46F3F"/>
    <w:rsid w:val="00C474F0"/>
    <w:rsid w:val="00C56DBF"/>
    <w:rsid w:val="00C659E7"/>
    <w:rsid w:val="00C67B74"/>
    <w:rsid w:val="00C82E59"/>
    <w:rsid w:val="00C8557A"/>
    <w:rsid w:val="00C97AB2"/>
    <w:rsid w:val="00CA3706"/>
    <w:rsid w:val="00CA5039"/>
    <w:rsid w:val="00CB0B37"/>
    <w:rsid w:val="00CB3CB3"/>
    <w:rsid w:val="00CB78D6"/>
    <w:rsid w:val="00CB7DB4"/>
    <w:rsid w:val="00CC3C22"/>
    <w:rsid w:val="00CC7377"/>
    <w:rsid w:val="00CC73AD"/>
    <w:rsid w:val="00CF24A3"/>
    <w:rsid w:val="00D03C76"/>
    <w:rsid w:val="00D05370"/>
    <w:rsid w:val="00D055CE"/>
    <w:rsid w:val="00D11A26"/>
    <w:rsid w:val="00D1223F"/>
    <w:rsid w:val="00D125B0"/>
    <w:rsid w:val="00D143D5"/>
    <w:rsid w:val="00D21138"/>
    <w:rsid w:val="00D3153E"/>
    <w:rsid w:val="00D425A4"/>
    <w:rsid w:val="00D456D3"/>
    <w:rsid w:val="00D46720"/>
    <w:rsid w:val="00D5504D"/>
    <w:rsid w:val="00D617EB"/>
    <w:rsid w:val="00D61DBD"/>
    <w:rsid w:val="00D639D5"/>
    <w:rsid w:val="00D904D5"/>
    <w:rsid w:val="00DA3B41"/>
    <w:rsid w:val="00DA7CE0"/>
    <w:rsid w:val="00DB2A51"/>
    <w:rsid w:val="00DB3F40"/>
    <w:rsid w:val="00DC2608"/>
    <w:rsid w:val="00DC6788"/>
    <w:rsid w:val="00DC7927"/>
    <w:rsid w:val="00DD3636"/>
    <w:rsid w:val="00DD73A1"/>
    <w:rsid w:val="00E01610"/>
    <w:rsid w:val="00E061DB"/>
    <w:rsid w:val="00E257AC"/>
    <w:rsid w:val="00E3345C"/>
    <w:rsid w:val="00E400E7"/>
    <w:rsid w:val="00E51AC9"/>
    <w:rsid w:val="00E520E1"/>
    <w:rsid w:val="00E66E34"/>
    <w:rsid w:val="00E83564"/>
    <w:rsid w:val="00E85E30"/>
    <w:rsid w:val="00E92335"/>
    <w:rsid w:val="00EA058D"/>
    <w:rsid w:val="00EB61D4"/>
    <w:rsid w:val="00EE56CB"/>
    <w:rsid w:val="00F074DA"/>
    <w:rsid w:val="00F2140F"/>
    <w:rsid w:val="00F361DB"/>
    <w:rsid w:val="00F64CAD"/>
    <w:rsid w:val="00F942F7"/>
    <w:rsid w:val="00F961E7"/>
    <w:rsid w:val="00FC15BD"/>
    <w:rsid w:val="00FC324A"/>
    <w:rsid w:val="00FD0C00"/>
    <w:rsid w:val="00FD42B1"/>
    <w:rsid w:val="00FE3835"/>
    <w:rsid w:val="00FF633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47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0F6FC6"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17406D"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0F6FC6"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0B5294"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B5294"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17406D"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0B5294"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0F6FC6"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17406D"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F6FC6" w:themeColor="accent1"/>
    </w:rPr>
  </w:style>
  <w:style w:type="character" w:customStyle="1" w:styleId="Heading5Char">
    <w:name w:val="Heading 5 Char"/>
    <w:basedOn w:val="DefaultParagraphFont"/>
    <w:link w:val="Heading5"/>
    <w:uiPriority w:val="9"/>
    <w:semiHidden/>
    <w:rPr>
      <w:rFonts w:eastAsiaTheme="majorEastAsia" w:cstheme="majorBidi"/>
      <w:b/>
      <w:color w:val="0B5294"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B5294"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17406D"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B5294" w:themeColor="accent1" w:themeShade="BF"/>
      <w:sz w:val="20"/>
      <w:szCs w:val="20"/>
    </w:rPr>
  </w:style>
  <w:style w:type="paragraph" w:styleId="Caption">
    <w:name w:val="caption"/>
    <w:basedOn w:val="Normal"/>
    <w:next w:val="Normal"/>
    <w:uiPriority w:val="35"/>
    <w:unhideWhenUsed/>
    <w:qFormat/>
    <w:pPr>
      <w:spacing w:line="240" w:lineRule="auto"/>
    </w:pPr>
    <w:rPr>
      <w:bCs/>
      <w:caps/>
      <w:color w:val="0F6FC6"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17406D"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17406D"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0F6FC6" w:themeColor="accent1"/>
      <w:sz w:val="28"/>
    </w:rPr>
  </w:style>
  <w:style w:type="character" w:customStyle="1" w:styleId="QuoteChar">
    <w:name w:val="Quote Char"/>
    <w:basedOn w:val="DefaultParagraphFont"/>
    <w:link w:val="Quote"/>
    <w:uiPriority w:val="29"/>
    <w:rPr>
      <w:i/>
      <w:iCs/>
      <w:color w:val="0F6FC6"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17406D"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0F6FC6" w:themeColor="accent1"/>
    </w:rPr>
  </w:style>
  <w:style w:type="character" w:styleId="IntenseEmphasis">
    <w:name w:val="Intense Emphasis"/>
    <w:basedOn w:val="DefaultParagraphFont"/>
    <w:uiPriority w:val="21"/>
    <w:qFormat/>
    <w:rPr>
      <w:b/>
      <w:bCs/>
      <w:i/>
      <w:iCs/>
      <w:color w:val="17406D" w:themeColor="text2"/>
    </w:rPr>
  </w:style>
  <w:style w:type="character" w:styleId="SubtleReference">
    <w:name w:val="Subtle Reference"/>
    <w:basedOn w:val="DefaultParagraphFont"/>
    <w:uiPriority w:val="31"/>
    <w:qFormat/>
    <w:rPr>
      <w:rFonts w:asciiTheme="minorHAnsi" w:hAnsiTheme="minorHAnsi"/>
      <w:smallCaps/>
      <w:color w:val="009DD9" w:themeColor="accent2"/>
      <w:sz w:val="22"/>
      <w:u w:val="none"/>
    </w:rPr>
  </w:style>
  <w:style w:type="character" w:styleId="IntenseReference">
    <w:name w:val="Intense Reference"/>
    <w:basedOn w:val="DefaultParagraphFont"/>
    <w:uiPriority w:val="32"/>
    <w:qFormat/>
    <w:rPr>
      <w:rFonts w:asciiTheme="minorHAnsi" w:hAnsiTheme="minorHAnsi"/>
      <w:b/>
      <w:bCs/>
      <w:caps/>
      <w:color w:val="009DD9" w:themeColor="accent2"/>
      <w:spacing w:val="5"/>
      <w:sz w:val="22"/>
      <w:u w:val="single"/>
    </w:rPr>
  </w:style>
  <w:style w:type="character" w:styleId="BookTitle">
    <w:name w:val="Book Title"/>
    <w:basedOn w:val="DefaultParagraphFont"/>
    <w:uiPriority w:val="33"/>
    <w:qFormat/>
    <w:rPr>
      <w:rFonts w:asciiTheme="minorHAnsi" w:hAnsiTheme="minorHAnsi"/>
      <w:b/>
      <w:bCs/>
      <w:caps/>
      <w:color w:val="073763"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932B78"/>
    <w:rPr>
      <w:color w:val="F49100" w:themeColor="hyperlink"/>
      <w:u w:val="single"/>
    </w:rPr>
  </w:style>
  <w:style w:type="paragraph" w:styleId="NormalWeb">
    <w:name w:val="Normal (Web)"/>
    <w:basedOn w:val="Normal"/>
    <w:uiPriority w:val="99"/>
    <w:unhideWhenUsed/>
    <w:rsid w:val="00D1223F"/>
    <w:rPr>
      <w:rFonts w:ascii="Times New Roman" w:hAnsi="Times New Roman" w:cs="Times New Roman"/>
      <w:sz w:val="24"/>
      <w:szCs w:val="24"/>
    </w:rPr>
  </w:style>
  <w:style w:type="paragraph" w:customStyle="1" w:styleId="Default">
    <w:name w:val="Default"/>
    <w:rsid w:val="000E1F69"/>
    <w:pPr>
      <w:autoSpaceDE w:val="0"/>
      <w:autoSpaceDN w:val="0"/>
      <w:adjustRightInd w:val="0"/>
      <w:spacing w:after="0" w:line="240" w:lineRule="auto"/>
    </w:pPr>
    <w:rPr>
      <w:rFonts w:ascii="DINOT-Black" w:eastAsiaTheme="minorHAnsi" w:hAnsi="DINOT-Black" w:cs="DINOT-Black"/>
      <w:color w:val="000000"/>
      <w:sz w:val="24"/>
      <w:szCs w:val="24"/>
      <w:lang w:val="en-AU"/>
    </w:rPr>
  </w:style>
  <w:style w:type="paragraph" w:customStyle="1" w:styleId="Pa1">
    <w:name w:val="Pa1"/>
    <w:basedOn w:val="Default"/>
    <w:next w:val="Default"/>
    <w:uiPriority w:val="99"/>
    <w:rsid w:val="000E1F69"/>
    <w:pPr>
      <w:spacing w:line="201" w:lineRule="atLeast"/>
    </w:pPr>
    <w:rPr>
      <w:rFonts w:cstheme="minorBidi"/>
      <w:color w:val="auto"/>
    </w:rPr>
  </w:style>
  <w:style w:type="character" w:styleId="FollowedHyperlink">
    <w:name w:val="FollowedHyperlink"/>
    <w:basedOn w:val="DefaultParagraphFont"/>
    <w:uiPriority w:val="99"/>
    <w:semiHidden/>
    <w:unhideWhenUsed/>
    <w:rsid w:val="00B577D6"/>
    <w:rPr>
      <w:color w:val="85DFD0" w:themeColor="followedHyperlink"/>
      <w:u w:val="single"/>
    </w:rPr>
  </w:style>
  <w:style w:type="character" w:styleId="CommentReference">
    <w:name w:val="annotation reference"/>
    <w:basedOn w:val="DefaultParagraphFont"/>
    <w:uiPriority w:val="99"/>
    <w:semiHidden/>
    <w:unhideWhenUsed/>
    <w:rsid w:val="009778A6"/>
    <w:rPr>
      <w:sz w:val="16"/>
      <w:szCs w:val="16"/>
    </w:rPr>
  </w:style>
  <w:style w:type="paragraph" w:styleId="CommentText">
    <w:name w:val="annotation text"/>
    <w:basedOn w:val="Normal"/>
    <w:link w:val="CommentTextChar"/>
    <w:uiPriority w:val="99"/>
    <w:semiHidden/>
    <w:unhideWhenUsed/>
    <w:rsid w:val="009778A6"/>
    <w:pPr>
      <w:spacing w:line="240" w:lineRule="auto"/>
    </w:pPr>
    <w:rPr>
      <w:sz w:val="20"/>
      <w:szCs w:val="20"/>
    </w:rPr>
  </w:style>
  <w:style w:type="character" w:customStyle="1" w:styleId="CommentTextChar">
    <w:name w:val="Comment Text Char"/>
    <w:basedOn w:val="DefaultParagraphFont"/>
    <w:link w:val="CommentText"/>
    <w:uiPriority w:val="99"/>
    <w:semiHidden/>
    <w:rsid w:val="009778A6"/>
    <w:rPr>
      <w:sz w:val="20"/>
      <w:szCs w:val="20"/>
    </w:rPr>
  </w:style>
  <w:style w:type="paragraph" w:styleId="CommentSubject">
    <w:name w:val="annotation subject"/>
    <w:basedOn w:val="CommentText"/>
    <w:next w:val="CommentText"/>
    <w:link w:val="CommentSubjectChar"/>
    <w:uiPriority w:val="99"/>
    <w:semiHidden/>
    <w:unhideWhenUsed/>
    <w:rsid w:val="009778A6"/>
    <w:rPr>
      <w:b/>
      <w:bCs/>
    </w:rPr>
  </w:style>
  <w:style w:type="character" w:customStyle="1" w:styleId="CommentSubjectChar">
    <w:name w:val="Comment Subject Char"/>
    <w:basedOn w:val="CommentTextChar"/>
    <w:link w:val="CommentSubject"/>
    <w:uiPriority w:val="99"/>
    <w:semiHidden/>
    <w:rsid w:val="00977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41667">
      <w:bodyDiv w:val="1"/>
      <w:marLeft w:val="0"/>
      <w:marRight w:val="0"/>
      <w:marTop w:val="0"/>
      <w:marBottom w:val="0"/>
      <w:divBdr>
        <w:top w:val="none" w:sz="0" w:space="0" w:color="auto"/>
        <w:left w:val="none" w:sz="0" w:space="0" w:color="auto"/>
        <w:bottom w:val="none" w:sz="0" w:space="0" w:color="auto"/>
        <w:right w:val="none" w:sz="0" w:space="0" w:color="auto"/>
      </w:divBdr>
    </w:div>
    <w:div w:id="652414430">
      <w:bodyDiv w:val="1"/>
      <w:marLeft w:val="0"/>
      <w:marRight w:val="0"/>
      <w:marTop w:val="0"/>
      <w:marBottom w:val="0"/>
      <w:divBdr>
        <w:top w:val="none" w:sz="0" w:space="0" w:color="auto"/>
        <w:left w:val="none" w:sz="0" w:space="0" w:color="auto"/>
        <w:bottom w:val="none" w:sz="0" w:space="0" w:color="auto"/>
        <w:right w:val="none" w:sz="0" w:space="0" w:color="auto"/>
      </w:divBdr>
    </w:div>
    <w:div w:id="710115120">
      <w:bodyDiv w:val="1"/>
      <w:marLeft w:val="0"/>
      <w:marRight w:val="0"/>
      <w:marTop w:val="0"/>
      <w:marBottom w:val="0"/>
      <w:divBdr>
        <w:top w:val="none" w:sz="0" w:space="0" w:color="auto"/>
        <w:left w:val="none" w:sz="0" w:space="0" w:color="auto"/>
        <w:bottom w:val="none" w:sz="0" w:space="0" w:color="auto"/>
        <w:right w:val="none" w:sz="0" w:space="0" w:color="auto"/>
      </w:divBdr>
    </w:div>
    <w:div w:id="804809009">
      <w:bodyDiv w:val="1"/>
      <w:marLeft w:val="0"/>
      <w:marRight w:val="0"/>
      <w:marTop w:val="0"/>
      <w:marBottom w:val="0"/>
      <w:divBdr>
        <w:top w:val="none" w:sz="0" w:space="0" w:color="auto"/>
        <w:left w:val="none" w:sz="0" w:space="0" w:color="auto"/>
        <w:bottom w:val="none" w:sz="0" w:space="0" w:color="auto"/>
        <w:right w:val="none" w:sz="0" w:space="0" w:color="auto"/>
      </w:divBdr>
    </w:div>
    <w:div w:id="1048266355">
      <w:bodyDiv w:val="1"/>
      <w:marLeft w:val="0"/>
      <w:marRight w:val="0"/>
      <w:marTop w:val="0"/>
      <w:marBottom w:val="0"/>
      <w:divBdr>
        <w:top w:val="none" w:sz="0" w:space="0" w:color="auto"/>
        <w:left w:val="none" w:sz="0" w:space="0" w:color="auto"/>
        <w:bottom w:val="none" w:sz="0" w:space="0" w:color="auto"/>
        <w:right w:val="none" w:sz="0" w:space="0" w:color="auto"/>
      </w:divBdr>
    </w:div>
    <w:div w:id="1402172205">
      <w:bodyDiv w:val="1"/>
      <w:marLeft w:val="0"/>
      <w:marRight w:val="0"/>
      <w:marTop w:val="0"/>
      <w:marBottom w:val="0"/>
      <w:divBdr>
        <w:top w:val="none" w:sz="0" w:space="0" w:color="auto"/>
        <w:left w:val="none" w:sz="0" w:space="0" w:color="auto"/>
        <w:bottom w:val="none" w:sz="0" w:space="0" w:color="auto"/>
        <w:right w:val="none" w:sz="0" w:space="0" w:color="auto"/>
      </w:divBdr>
    </w:div>
    <w:div w:id="1678116942">
      <w:bodyDiv w:val="1"/>
      <w:marLeft w:val="0"/>
      <w:marRight w:val="0"/>
      <w:marTop w:val="0"/>
      <w:marBottom w:val="0"/>
      <w:divBdr>
        <w:top w:val="none" w:sz="0" w:space="0" w:color="auto"/>
        <w:left w:val="none" w:sz="0" w:space="0" w:color="auto"/>
        <w:bottom w:val="none" w:sz="0" w:space="0" w:color="auto"/>
        <w:right w:val="none" w:sz="0" w:space="0" w:color="auto"/>
      </w:divBdr>
    </w:div>
    <w:div w:id="1973706005">
      <w:bodyDiv w:val="1"/>
      <w:marLeft w:val="0"/>
      <w:marRight w:val="0"/>
      <w:marTop w:val="0"/>
      <w:marBottom w:val="0"/>
      <w:divBdr>
        <w:top w:val="none" w:sz="0" w:space="0" w:color="auto"/>
        <w:left w:val="none" w:sz="0" w:space="0" w:color="auto"/>
        <w:bottom w:val="none" w:sz="0" w:space="0" w:color="auto"/>
        <w:right w:val="none" w:sz="0" w:space="0" w:color="auto"/>
      </w:divBdr>
    </w:div>
    <w:div w:id="20232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initiatives-and-programs/aligning-regulation-across-the-care-and-support-sec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gedcare.royalcommission.gov.au/" TargetMode="External"/><Relationship Id="rId4" Type="http://schemas.openxmlformats.org/officeDocument/2006/relationships/webSettings" Target="webSettings.xml"/><Relationship Id="rId9" Type="http://schemas.openxmlformats.org/officeDocument/2006/relationships/hyperlink" Target="https://agedcareengagement.health.gov.au/"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2021-10-25T00:13:00Z</dcterms:created>
  <dcterms:modified xsi:type="dcterms:W3CDTF">2021-10-25T00:19:00Z</dcterms:modified>
</cp:coreProperties>
</file>